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0081-2020-QEO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重庆乔盛实业有限公司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Q:15.01.02</w:t>
            </w:r>
          </w:p>
          <w:p>
            <w:pPr>
              <w:spacing w:line="240" w:lineRule="exact"/>
              <w:jc w:val="center"/>
              <w:rPr>
                <w:b/>
                <w:color w:val="000000"/>
                <w:sz w:val="20"/>
                <w:szCs w:val="20"/>
              </w:rPr>
            </w:pPr>
            <w:r>
              <w:rPr>
                <w:b/>
                <w:color w:val="000000"/>
                <w:sz w:val="20"/>
                <w:szCs w:val="20"/>
              </w:rPr>
              <w:t>E:15.01.02</w:t>
            </w:r>
          </w:p>
          <w:p>
            <w:pPr>
              <w:spacing w:line="240" w:lineRule="exact"/>
              <w:jc w:val="center"/>
              <w:rPr>
                <w:b/>
                <w:color w:val="000000"/>
                <w:sz w:val="20"/>
                <w:szCs w:val="20"/>
              </w:rPr>
            </w:pPr>
            <w:r>
              <w:rPr>
                <w:b/>
                <w:color w:val="000000"/>
                <w:sz w:val="20"/>
                <w:szCs w:val="20"/>
              </w:rPr>
              <w:t>O:15.01.02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受审核方管理手册第A/0版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重庆乔盛实业有限公司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重庆市涪陵区荔枝街道办事处鹅颈关村七组(涪南路八公里龙家湾）</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408000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重庆市涪陵区荔枝街道办事处鹅颈关村七组(涪南路八公里龙家湾）</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408000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张建平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15310100165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庞天勇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张建平</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Q：钢化玻璃的生产（3C证书范围内）</w:t>
            </w:r>
          </w:p>
          <w:p>
            <w:pPr>
              <w:spacing w:line="400" w:lineRule="exact"/>
              <w:rPr>
                <w:rFonts w:ascii="宋体" w:hAnsi="宋体"/>
                <w:b/>
                <w:color w:val="000000"/>
                <w:sz w:val="20"/>
                <w:szCs w:val="20"/>
              </w:rPr>
            </w:pPr>
            <w:r>
              <w:rPr>
                <w:rFonts w:ascii="宋体" w:hAnsi="宋体"/>
                <w:b/>
                <w:color w:val="000000"/>
                <w:sz w:val="20"/>
                <w:szCs w:val="20"/>
              </w:rPr>
              <w:t>E：钢化玻璃的生产（3C证书范围内）所涉及的相关环境管理活动</w:t>
            </w:r>
          </w:p>
          <w:p>
            <w:pPr>
              <w:spacing w:line="400" w:lineRule="exact"/>
              <w:rPr>
                <w:rFonts w:ascii="宋体" w:hAnsi="宋体"/>
                <w:b/>
                <w:color w:val="000000"/>
                <w:sz w:val="20"/>
                <w:szCs w:val="20"/>
              </w:rPr>
            </w:pPr>
            <w:r>
              <w:rPr>
                <w:rFonts w:ascii="宋体" w:hAnsi="宋体"/>
                <w:b/>
                <w:color w:val="000000"/>
                <w:sz w:val="20"/>
                <w:szCs w:val="20"/>
              </w:rPr>
              <w:t>O：钢化玻璃的生产（3C证书范围内）所涉及的相关职业健康安全管理活动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Q：15.01.02</w:t>
            </w:r>
          </w:p>
          <w:p>
            <w:pPr>
              <w:spacing w:line="280" w:lineRule="exact"/>
              <w:rPr>
                <w:rFonts w:ascii="宋体"/>
                <w:b/>
                <w:color w:val="000000"/>
                <w:sz w:val="20"/>
                <w:szCs w:val="20"/>
              </w:rPr>
            </w:pPr>
            <w:r>
              <w:rPr>
                <w:rFonts w:ascii="宋体"/>
                <w:b/>
                <w:color w:val="000000"/>
                <w:sz w:val="20"/>
                <w:szCs w:val="20"/>
              </w:rPr>
              <w:t>E：15.01.02</w:t>
            </w:r>
          </w:p>
          <w:p>
            <w:pPr>
              <w:spacing w:line="280" w:lineRule="exact"/>
              <w:rPr>
                <w:rFonts w:ascii="宋体"/>
                <w:b/>
                <w:color w:val="000000"/>
                <w:sz w:val="20"/>
                <w:szCs w:val="20"/>
              </w:rPr>
            </w:pPr>
            <w:r>
              <w:rPr>
                <w:rFonts w:ascii="宋体"/>
                <w:b/>
                <w:color w:val="000000"/>
                <w:sz w:val="20"/>
                <w:szCs w:val="20"/>
              </w:rPr>
              <w:t>O：15.01.02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综合部、生产技术部、供销部、财务部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重庆市涪陵区荔枝街道办事处鹅颈关村七组(涪南路八公里龙家湾）</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rPr>
            </w:pPr>
            <w:r>
              <w:rPr>
                <w:rFonts w:hint="eastAsia" w:ascii="宋体" w:hAnsi="宋体"/>
                <w:b/>
                <w:color w:val="000000"/>
                <w:sz w:val="20"/>
                <w:szCs w:val="20"/>
              </w:rPr>
              <w:t>产品：</w:t>
            </w:r>
            <w:r>
              <w:rPr>
                <w:rFonts w:hint="eastAsia" w:ascii="宋体" w:hAnsi="宋体"/>
                <w:szCs w:val="21"/>
              </w:rPr>
              <w:t>钢化玻璃的生产（3C证书范围内）</w:t>
            </w: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400" w:lineRule="exact"/>
              <w:ind w:firstLine="402" w:firstLineChars="200"/>
              <w:jc w:val="left"/>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szCs w:val="21"/>
              </w:rPr>
              <w:t>综合部、生产技术部、供销部、财务部。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szCs w:val="21"/>
              </w:rPr>
              <w:t>综合部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w:t>
            </w:r>
            <w:r>
              <w:rPr>
                <w:rFonts w:hint="eastAsia" w:ascii="宋体" w:hAnsi="宋体"/>
                <w:szCs w:val="21"/>
              </w:rPr>
              <w:t>生产技术部</w:t>
            </w:r>
          </w:p>
          <w:p>
            <w:pPr>
              <w:tabs>
                <w:tab w:val="left" w:pos="360"/>
              </w:tabs>
              <w:spacing w:beforeLines="50"/>
              <w:ind w:left="357" w:hanging="357"/>
              <w:rPr>
                <w:rFonts w:ascii="宋体" w:hAnsi="宋体"/>
                <w:szCs w:val="21"/>
              </w:rPr>
            </w:pPr>
            <w:r>
              <w:rPr>
                <w:rFonts w:hint="eastAsia" w:ascii="宋体" w:hAnsi="宋体"/>
                <w:b/>
                <w:color w:val="000000"/>
                <w:sz w:val="20"/>
                <w:szCs w:val="20"/>
              </w:rPr>
              <w:t>环境管理主管部门：</w:t>
            </w:r>
            <w:r>
              <w:rPr>
                <w:rFonts w:hint="eastAsia" w:ascii="宋体" w:hAnsi="宋体"/>
                <w:szCs w:val="21"/>
              </w:rPr>
              <w:t>综合部</w:t>
            </w:r>
          </w:p>
          <w:p>
            <w:pPr>
              <w:tabs>
                <w:tab w:val="left" w:pos="360"/>
              </w:tabs>
              <w:spacing w:beforeLines="50"/>
              <w:ind w:left="357" w:hanging="357"/>
              <w:rPr>
                <w:rFonts w:ascii="宋体" w:hAnsi="宋体"/>
                <w:szCs w:val="21"/>
              </w:rPr>
            </w:pPr>
            <w:r>
              <w:rPr>
                <w:rFonts w:hint="eastAsia" w:ascii="宋体" w:hAnsi="宋体"/>
                <w:b/>
                <w:color w:val="000000"/>
                <w:sz w:val="20"/>
                <w:szCs w:val="20"/>
              </w:rPr>
              <w:t>职业健康安全主管部门：</w:t>
            </w:r>
            <w:r>
              <w:rPr>
                <w:rFonts w:hint="eastAsia" w:ascii="宋体" w:hAnsi="宋体"/>
                <w:szCs w:val="21"/>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240" w:lineRule="atLeast"/>
              <w:jc w:val="left"/>
              <w:rPr>
                <w:rFonts w:ascii="宋体" w:hAnsi="宋体"/>
                <w:szCs w:val="21"/>
                <w:u w:val="single"/>
              </w:rPr>
            </w:pPr>
            <w:r>
              <w:rPr>
                <w:rFonts w:hint="eastAsia" w:ascii="宋体" w:hAnsi="宋体"/>
                <w:color w:val="000000"/>
                <w:sz w:val="20"/>
                <w:szCs w:val="20"/>
              </w:rPr>
              <w:t>受审核方位于：</w:t>
            </w:r>
            <w:r>
              <w:t>重庆市涪陵区荔枝街道办事处鹅颈关村七组(涪南路八公里龙家湾）</w:t>
            </w:r>
          </w:p>
          <w:p>
            <w:pPr>
              <w:tabs>
                <w:tab w:val="left" w:pos="360"/>
              </w:tabs>
              <w:ind w:left="420" w:leftChars="200" w:firstLine="1052" w:firstLineChars="526"/>
              <w:rPr>
                <w:rFonts w:ascii="宋体"/>
                <w:color w:val="000000"/>
                <w:sz w:val="20"/>
                <w:szCs w:val="20"/>
              </w:rPr>
            </w:pP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highlight w:val="green"/>
              </w:rPr>
              <w:t>■</w:t>
            </w:r>
            <w:r>
              <w:rPr>
                <w:rFonts w:hint="eastAsia" w:ascii="宋体" w:hAnsi="宋体"/>
                <w:color w:val="000000"/>
                <w:sz w:val="20"/>
                <w:szCs w:val="20"/>
                <w:highlight w:val="green"/>
              </w:rPr>
              <w:t>自建办公用房</w:t>
            </w:r>
            <w:r>
              <w:rPr>
                <w:rFonts w:hint="eastAsia" w:ascii="宋体" w:hAnsi="宋体"/>
                <w:color w:val="000000"/>
                <w:spacing w:val="-10"/>
                <w:sz w:val="20"/>
                <w:szCs w:val="20"/>
                <w:highlight w:val="green"/>
              </w:rPr>
              <w:t>■</w:t>
            </w:r>
            <w:r>
              <w:rPr>
                <w:rFonts w:hint="eastAsia" w:ascii="宋体" w:hAnsi="宋体"/>
                <w:color w:val="000000"/>
                <w:sz w:val="20"/>
                <w:szCs w:val="20"/>
                <w:highlight w:val="green"/>
              </w:rPr>
              <w:t>自建厂房</w:t>
            </w:r>
            <w:r>
              <w:rPr>
                <w:rFonts w:hint="eastAsia" w:ascii="宋体" w:hAnsi="宋体"/>
                <w:color w:val="000000"/>
                <w:spacing w:val="-10"/>
                <w:sz w:val="20"/>
                <w:szCs w:val="20"/>
                <w:highlight w:val="green"/>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szCs w:val="21"/>
              </w:rPr>
              <w:t>GB 15763.3-2009 建筑用安全玻璃 第3部分：夹层玻璃</w:t>
            </w:r>
            <w:r>
              <w:rPr>
                <w:rFonts w:hint="eastAsia" w:ascii="宋体" w:hAnsi="宋体"/>
                <w:color w:val="FF0000"/>
                <w:szCs w:val="21"/>
              </w:rPr>
              <w:t>、</w:t>
            </w:r>
            <w:r>
              <w:rPr>
                <w:rFonts w:hint="eastAsia" w:ascii="宋体" w:hAnsi="宋体"/>
                <w:szCs w:val="21"/>
              </w:rPr>
              <w:t>GB 15763.2-2005 建筑用安全玻璃 第2部分：钢化玻璃、GB/T11944-2012 中空玻璃</w:t>
            </w:r>
            <w:r>
              <w:rPr>
                <w:rFonts w:hint="eastAsia" w:ascii="宋体" w:hAnsi="宋体"/>
                <w:szCs w:val="21"/>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rPr>
              <w:t>污水综合排放标准（GB8978-1996）三级、工业企业厂界环境噪声排放标准（GB12348-2008）3类、大气污染物综合排放标准（GB16297-1996）二级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ascii="宋体" w:hAnsi="宋体" w:cs="Arial"/>
                <w:szCs w:val="21"/>
              </w:rPr>
            </w:pPr>
            <w:r>
              <w:rPr>
                <w:rFonts w:hint="eastAsia" w:ascii="宋体" w:hAnsi="宋体" w:cs="Arial"/>
                <w:szCs w:val="21"/>
              </w:rPr>
              <w:t>中空玻璃生产流程：</w:t>
            </w:r>
          </w:p>
          <w:p>
            <w:pPr>
              <w:spacing w:line="400" w:lineRule="exact"/>
              <w:rPr>
                <w:rFonts w:ascii="宋体" w:hAnsi="宋体" w:cs="Arial"/>
                <w:color w:val="FF0000"/>
                <w:szCs w:val="21"/>
              </w:rPr>
            </w:pPr>
            <w:r>
              <w:rPr>
                <w:rFonts w:hint="eastAsia" w:ascii="宋体" w:hAnsi="宋体" w:cs="Arial"/>
                <w:szCs w:val="21"/>
              </w:rPr>
              <w:t>玻璃原片——划片——磨边——清洗——铝条合片——打胶——验收——成品。</w:t>
            </w:r>
          </w:p>
          <w:p>
            <w:pPr>
              <w:spacing w:line="400" w:lineRule="exact"/>
              <w:rPr>
                <w:rFonts w:ascii="宋体" w:hAnsi="宋体" w:cs="Arial"/>
                <w:szCs w:val="21"/>
              </w:rPr>
            </w:pPr>
            <w:r>
              <w:rPr>
                <w:rFonts w:hint="eastAsia" w:ascii="宋体" w:hAnsi="宋体" w:cs="Arial"/>
                <w:szCs w:val="21"/>
              </w:rPr>
              <w:t>夹胶玻璃生产流程：</w:t>
            </w:r>
          </w:p>
          <w:p>
            <w:r>
              <w:rPr>
                <w:rFonts w:hint="eastAsia"/>
              </w:rPr>
              <w:t>玻璃原片——划片——磨边——清洗——合胶片（PVB胶片）——进入高压釜——验收——成品。</w:t>
            </w:r>
          </w:p>
          <w:p>
            <w:pPr>
              <w:spacing w:line="400" w:lineRule="exact"/>
              <w:rPr>
                <w:rFonts w:ascii="宋体" w:hAnsi="宋体" w:cs="Arial"/>
                <w:szCs w:val="21"/>
              </w:rPr>
            </w:pPr>
            <w:r>
              <w:rPr>
                <w:rFonts w:hint="eastAsia" w:ascii="宋体" w:hAnsi="宋体" w:cs="Arial"/>
                <w:szCs w:val="21"/>
              </w:rPr>
              <w:t>钢化玻璃生产流程：</w:t>
            </w:r>
          </w:p>
          <w:p>
            <w:r>
              <w:rPr>
                <w:rFonts w:hint="eastAsia"/>
              </w:rPr>
              <w:t>玻璃原片——划片——磨边——清洗——钢化（电加热）——冷却验收——成品。</w:t>
            </w:r>
          </w:p>
          <w:p>
            <w:pPr>
              <w:rPr>
                <w:rFonts w:asci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sz w:val="20"/>
                <w:szCs w:val="20"/>
              </w:rPr>
            </w:pPr>
            <w:r>
              <w:rPr>
                <w:rFonts w:hint="eastAsia" w:ascii="宋体" w:hAnsi="宋体"/>
                <w:sz w:val="20"/>
                <w:szCs w:val="20"/>
              </w:rPr>
              <w:t>关键过程有：</w:t>
            </w:r>
            <w:r>
              <w:rPr>
                <w:rFonts w:hint="eastAsia" w:ascii="宋体" w:hAnsi="宋体"/>
                <w:szCs w:val="21"/>
              </w:rPr>
              <w:t>合片、夹胶、钢化。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sz w:val="20"/>
                <w:szCs w:val="20"/>
              </w:rPr>
            </w:pPr>
            <w:r>
              <w:rPr>
                <w:rFonts w:hint="eastAsia" w:ascii="宋体" w:hAnsi="宋体"/>
                <w:sz w:val="20"/>
                <w:szCs w:val="20"/>
              </w:rPr>
              <w:t>针对关键过程建立的控制文件有：设计管理程序、生产与服务提供的程序、与顾客有关的过程控制程序等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spacing w:val="-10"/>
                <w:sz w:val="20"/>
                <w:szCs w:val="20"/>
              </w:rPr>
            </w:pPr>
            <w:r>
              <w:rPr>
                <w:rFonts w:hint="eastAsia" w:ascii="宋体" w:hAnsi="宋体"/>
                <w:sz w:val="20"/>
                <w:szCs w:val="20"/>
              </w:rPr>
              <w:t>需要确认过程：</w:t>
            </w:r>
            <w:r>
              <w:rPr>
                <w:rFonts w:hint="eastAsia" w:ascii="宋体" w:hAnsi="宋体"/>
                <w:szCs w:val="21"/>
              </w:rPr>
              <w:t>钢化、夹胶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spacing w:val="-10"/>
                <w:sz w:val="20"/>
                <w:szCs w:val="20"/>
              </w:rPr>
            </w:pPr>
            <w:r>
              <w:rPr>
                <w:rFonts w:hint="eastAsia" w:ascii="宋体" w:hAnsi="宋体"/>
                <w:spacing w:val="-10"/>
                <w:sz w:val="20"/>
                <w:szCs w:val="20"/>
              </w:rPr>
              <w:t>是</w:t>
            </w:r>
            <w:r>
              <w:rPr>
                <w:rFonts w:hint="eastAsia" w:ascii="宋体"/>
                <w:sz w:val="20"/>
                <w:szCs w:val="20"/>
              </w:rPr>
              <w:t>否明确了过程的确认方法</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是</w:t>
            </w:r>
            <w:r>
              <w:rPr>
                <w:rFonts w:hint="eastAsia" w:ascii="宋体"/>
                <w:sz w:val="20"/>
                <w:szCs w:val="20"/>
              </w:rPr>
              <w:t>否明确了过程的确认准则</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eastAsia="宋体"/>
                <w:color w:val="000000"/>
                <w:spacing w:val="-10"/>
                <w:sz w:val="20"/>
                <w:szCs w:val="20"/>
                <w:lang w:eastAsia="zh-CN"/>
              </w:rPr>
            </w:pPr>
            <w:r>
              <w:rPr>
                <w:rFonts w:hint="eastAsia" w:ascii="宋体" w:hAnsi="宋体"/>
                <w:color w:val="000000"/>
                <w:spacing w:val="-10"/>
                <w:sz w:val="20"/>
                <w:szCs w:val="20"/>
              </w:rPr>
              <w:t>主要设备：</w:t>
            </w:r>
            <w:r>
              <w:rPr>
                <w:rFonts w:hint="eastAsia" w:ascii="宋体" w:hAnsi="宋体"/>
                <w:szCs w:val="21"/>
                <w:highlight w:val="green"/>
              </w:rPr>
              <w:t>全自动玻璃切片机、砂带磨边机、铝条切割机、玻璃清洗机、玻璃清洗干燥机、丁胶涂布机、PVB胶膜铺摊机、红外加热初压机、红外蒸压釜、行走吸盘、中空玻璃板压生产线、钢化生产线等</w:t>
            </w:r>
            <w:r>
              <w:rPr>
                <w:rFonts w:hint="eastAsia" w:ascii="宋体" w:hAnsi="宋体"/>
                <w:szCs w:val="21"/>
                <w:highlight w:val="gree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szCs w:val="21"/>
                <w:highlight w:val="green"/>
              </w:rPr>
              <w:t>储气罐、蒸压釜、行车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color w:val="000000" w:themeColor="text1"/>
                <w:highlight w:val="green"/>
              </w:rPr>
              <w:t>配置有钢直尺、温湿度计、游标卡尺、千分尺、落球冲击框架、霰弹袋冲击试验机等</w:t>
            </w:r>
            <w:r>
              <w:rPr>
                <w:rFonts w:hint="eastAsia" w:ascii="宋体" w:hAnsi="宋体" w:cs="宋体"/>
                <w:color w:val="000000" w:themeColor="text1"/>
                <w:szCs w:val="21"/>
                <w:highlight w:val="green"/>
                <w:shd w:val="clear" w:color="auto" w:fill="FFFFFF"/>
              </w:rPr>
              <w:t>，按期校准或检定和自校，符合要求</w:t>
            </w:r>
            <w:r>
              <w:rPr>
                <w:rFonts w:hint="eastAsia" w:ascii="宋体" w:hAnsi="宋体" w:cs="宋体"/>
                <w:color w:val="000000" w:themeColor="text1"/>
                <w:szCs w:val="21"/>
                <w:highlight w:val="gre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spacing w:line="400" w:lineRule="exact"/>
              <w:rPr>
                <w:rFonts w:ascii="宋体"/>
                <w:color w:val="000000"/>
                <w:sz w:val="20"/>
                <w:szCs w:val="20"/>
                <w:highlight w:val="none"/>
              </w:rPr>
            </w:pPr>
            <w:r>
              <w:rPr>
                <w:rFonts w:hint="eastAsia" w:ascii="宋体"/>
                <w:color w:val="000000"/>
                <w:sz w:val="20"/>
                <w:szCs w:val="20"/>
                <w:highlight w:val="none"/>
              </w:rPr>
              <w:t>重要环境因素有：</w:t>
            </w:r>
            <w:r>
              <w:rPr>
                <w:rFonts w:hint="eastAsia" w:ascii="宋体" w:hAnsi="宋体"/>
                <w:szCs w:val="21"/>
                <w:highlight w:val="none"/>
              </w:rPr>
              <w:t>潜在火灾、固废排放、噪声排放、废水排放、</w:t>
            </w:r>
            <w:r>
              <w:rPr>
                <w:rFonts w:hint="eastAsia" w:ascii="宋体" w:hAnsi="宋体"/>
                <w:color w:val="auto"/>
                <w:szCs w:val="21"/>
                <w:highlight w:val="none"/>
              </w:rPr>
              <w:t>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针对重要环境因素建立了运行控制程序：有（1）环境因素的识别与评价控制程序；（2）环境运行控制程序。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针对重要环境因素是否明确了监视和测量的要求：有：过程的测量和监控程序。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应急预案有：触电应急预案、火灾应急预案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不可接受风险有：</w:t>
            </w:r>
            <w:r>
              <w:rPr>
                <w:rFonts w:hint="eastAsia" w:ascii="宋体" w:hAnsi="宋体"/>
                <w:szCs w:val="21"/>
                <w:highlight w:val="none"/>
              </w:rPr>
              <w:t>火灾、触电、机械伤害、</w:t>
            </w:r>
            <w:r>
              <w:rPr>
                <w:rFonts w:hint="eastAsia" w:ascii="宋体" w:hAnsi="宋体"/>
                <w:color w:val="auto"/>
                <w:szCs w:val="21"/>
                <w:highlight w:val="none"/>
              </w:rPr>
              <w:t>烫伤、职业病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60</w:t>
            </w:r>
            <w:r>
              <w:rPr>
                <w:rFonts w:hint="eastAsia" w:ascii="宋体"/>
                <w:color w:val="000000"/>
                <w:sz w:val="20"/>
                <w:szCs w:val="20"/>
              </w:rPr>
              <w:t>人，其中管理人员：</w:t>
            </w:r>
            <w:r>
              <w:rPr>
                <w:rFonts w:hint="eastAsia" w:ascii="宋体"/>
                <w:color w:val="000000"/>
                <w:sz w:val="20"/>
                <w:szCs w:val="20"/>
                <w:u w:val="single"/>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ind w:firstLine="402" w:firstLineChars="200"/>
              <w:jc w:val="left"/>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综合部、生产技术部、供销部。</w:t>
            </w:r>
          </w:p>
          <w:p>
            <w:pPr>
              <w:spacing w:line="400" w:lineRule="exact"/>
              <w:rPr>
                <w:rFonts w:ascii="宋体"/>
                <w:b/>
                <w:color w:val="000000"/>
                <w:sz w:val="20"/>
                <w:szCs w:val="20"/>
              </w:rPr>
            </w:pPr>
            <w:r>
              <w:rPr>
                <w:rFonts w:hint="eastAsia" w:ascii="宋体" w:hAnsi="宋体"/>
                <w:b/>
                <w:color w:val="000000"/>
                <w:sz w:val="20"/>
                <w:szCs w:val="20"/>
              </w:rPr>
              <w:t>重点审核过程：产品生产提供控制、顾客满意；产品和服务放行、不合格产品和服务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综合部、生产技术部、供销部、财务部</w:t>
            </w:r>
            <w:r>
              <w:rPr>
                <w:rFonts w:hint="eastAsia"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综合部、生产技术部、供销部、财务部</w:t>
            </w:r>
            <w:r>
              <w:rPr>
                <w:rFonts w:hint="eastAsia"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建立有《内部审核控制程序》，于2019年11月10日进行了内部审核。</w:t>
            </w:r>
          </w:p>
          <w:p>
            <w:pPr>
              <w:spacing w:line="400" w:lineRule="exact"/>
              <w:rPr>
                <w:szCs w:val="21"/>
              </w:rPr>
            </w:pPr>
            <w:r>
              <w:rPr>
                <w:rFonts w:hint="eastAsia"/>
                <w:szCs w:val="21"/>
              </w:rPr>
              <w:t>内部审核组由：</w:t>
            </w:r>
            <w:r>
              <w:rPr>
                <w:rFonts w:hint="eastAsia" w:ascii="宋体" w:hAnsi="宋体"/>
                <w:szCs w:val="21"/>
                <w:lang w:eastAsia="zh-CN"/>
              </w:rPr>
              <w:t>魏发献</w:t>
            </w:r>
            <w:r>
              <w:rPr>
                <w:rFonts w:hint="eastAsia" w:ascii="宋体" w:hAnsi="宋体"/>
                <w:szCs w:val="21"/>
              </w:rPr>
              <w:t>（ 组长）、</w:t>
            </w:r>
            <w:r>
              <w:rPr>
                <w:rFonts w:hint="eastAsia" w:ascii="宋体" w:hAnsi="宋体" w:cs="宋体"/>
                <w:szCs w:val="21"/>
              </w:rPr>
              <w:t xml:space="preserve"> </w:t>
            </w:r>
            <w:r>
              <w:rPr>
                <w:rFonts w:hint="eastAsia" w:ascii="宋体" w:hAnsi="宋体"/>
                <w:szCs w:val="21"/>
                <w:lang w:eastAsia="zh-CN"/>
              </w:rPr>
              <w:t>张建平</w:t>
            </w:r>
            <w:r>
              <w:rPr>
                <w:rFonts w:hint="eastAsia" w:ascii="宋体" w:hAnsi="宋体"/>
                <w:szCs w:val="21"/>
              </w:rPr>
              <w:t xml:space="preserve"> </w:t>
            </w:r>
            <w:r>
              <w:rPr>
                <w:rFonts w:hint="eastAsia" w:ascii="宋体" w:hAnsi="宋体" w:cs="宋体"/>
                <w:szCs w:val="21"/>
              </w:rPr>
              <w:t xml:space="preserve"> </w:t>
            </w:r>
            <w:r>
              <w:rPr>
                <w:rFonts w:hint="eastAsia" w:ascii="宋体" w:hAnsi="宋体"/>
                <w:szCs w:val="21"/>
              </w:rPr>
              <w:t>（组员）</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标准、</w:t>
            </w:r>
            <w:r>
              <w:rPr>
                <w:rFonts w:hint="eastAsia" w:ascii="宋体" w:hAnsi="宋体"/>
              </w:rPr>
              <w:t>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建立有《管理评审控制程序》，于2019年12月10日就管理方针和目标，评价和审定管理体系运行的适宜性、充分性和有效性进行了评审。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pacing w:val="-10"/>
                <w:sz w:val="20"/>
                <w:szCs w:val="20"/>
              </w:rPr>
              <w:t>■</w:t>
            </w:r>
            <w:r>
              <w:rPr>
                <w:rFonts w:ascii="宋体" w:hAnsi="宋体"/>
                <w:b/>
                <w:color w:val="000000"/>
                <w:sz w:val="20"/>
                <w:szCs w:val="20"/>
              </w:rPr>
              <w:t>QMS /</w:t>
            </w:r>
            <w:r>
              <w:rPr>
                <w:rFonts w:hint="eastAsia" w:ascii="宋体" w:hAnsi="宋体"/>
                <w:color w:val="000000"/>
                <w:spacing w:val="-10"/>
                <w:sz w:val="20"/>
                <w:szCs w:val="20"/>
              </w:rPr>
              <w:t>■</w:t>
            </w:r>
            <w:r>
              <w:rPr>
                <w:rFonts w:ascii="宋体" w:hAnsi="宋体"/>
                <w:b/>
                <w:color w:val="000000"/>
                <w:sz w:val="20"/>
                <w:szCs w:val="20"/>
              </w:rPr>
              <w:t>EMS/</w:t>
            </w:r>
            <w:r>
              <w:rPr>
                <w:rFonts w:hint="eastAsia" w:ascii="宋体" w:hAnsi="宋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宋体" w:hAnsi="宋体"/>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jc w:val="both"/>
        <w:rPr>
          <w:rFonts w:hint="eastAsia" w:eastAsia="宋体"/>
          <w:color w:val="000000"/>
          <w:szCs w:val="21"/>
          <w:lang w:eastAsia="zh-CN"/>
        </w:rPr>
      </w:pPr>
      <w:r>
        <w:rPr>
          <w:rFonts w:hint="eastAsia" w:ascii="宋体" w:hAnsi="宋体"/>
          <w:szCs w:val="21"/>
        </w:rPr>
        <w:t>Q</w:t>
      </w:r>
      <w:r>
        <w:rPr>
          <w:rFonts w:hint="eastAsia" w:ascii="宋体" w:hAnsi="宋体"/>
          <w:szCs w:val="21"/>
          <w:lang w:val="en-US" w:eastAsia="zh-CN"/>
        </w:rPr>
        <w:t>MS</w:t>
      </w:r>
      <w:r>
        <w:rPr>
          <w:rFonts w:hint="eastAsia" w:ascii="宋体" w:hAnsi="宋体"/>
          <w:szCs w:val="21"/>
        </w:rPr>
        <w:t>：钢化玻璃的生产（3C证书范围内）</w:t>
      </w:r>
      <w:r>
        <w:rPr>
          <w:rFonts w:hint="eastAsia" w:ascii="宋体" w:hAnsi="宋体"/>
          <w:szCs w:val="21"/>
          <w:lang w:eastAsia="zh-CN"/>
        </w:rPr>
        <w:t>。</w:t>
      </w:r>
    </w:p>
    <w:p>
      <w:pPr>
        <w:jc w:val="both"/>
        <w:rPr>
          <w:rFonts w:hint="eastAsia" w:ascii="宋体" w:hAnsi="宋体" w:eastAsia="宋体"/>
          <w:szCs w:val="21"/>
          <w:lang w:val="en-US" w:eastAsia="zh-CN"/>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：钢化玻璃的生产（3C证书范围内）所涉及的相关环境管理活动</w:t>
      </w:r>
      <w:r>
        <w:rPr>
          <w:rFonts w:hint="eastAsia" w:ascii="宋体" w:hAnsi="宋体"/>
          <w:szCs w:val="21"/>
          <w:lang w:val="en-US" w:eastAsia="zh-CN"/>
        </w:rPr>
        <w:t>.</w:t>
      </w:r>
    </w:p>
    <w:p>
      <w:pPr>
        <w:jc w:val="both"/>
        <w:rPr>
          <w:rFonts w:ascii="宋体" w:hAnsi="宋体"/>
          <w:szCs w:val="21"/>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：钢化玻璃的生产（3C证书范围内）所涉及的相关职业健康安全管理活动。</w:t>
      </w:r>
    </w:p>
    <w:p>
      <w:pPr>
        <w:spacing w:beforeLines="50" w:afterLines="20" w:line="360" w:lineRule="exact"/>
        <w:ind w:firstLine="211" w:firstLineChars="100"/>
        <w:rPr>
          <w:rFonts w:ascii="宋体"/>
          <w:b/>
          <w:bCs/>
          <w:color w:val="000000"/>
          <w:sz w:val="26"/>
          <w:szCs w:val="26"/>
        </w:rPr>
      </w:pPr>
      <w:r>
        <w:rPr>
          <w:rFonts w:ascii="宋体" w:hAnsi="宋体"/>
          <w:b/>
          <w:color w:val="000000"/>
        </w:rPr>
        <w:drawing>
          <wp:anchor distT="0" distB="0" distL="0" distR="0" simplePos="0" relativeHeight="251658240" behindDoc="0" locked="0" layoutInCell="1" allowOverlap="1">
            <wp:simplePos x="0" y="0"/>
            <wp:positionH relativeFrom="column">
              <wp:posOffset>1793240</wp:posOffset>
            </wp:positionH>
            <wp:positionV relativeFrom="paragraph">
              <wp:posOffset>241935</wp:posOffset>
            </wp:positionV>
            <wp:extent cx="472440" cy="483235"/>
            <wp:effectExtent l="0" t="0" r="0" b="4445"/>
            <wp:wrapNone/>
            <wp:docPr id="1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C:\Users\Administrator\Desktop\新文档 2019-09-04 21.08.47.jpg"/>
                    <pic:cNvPicPr>
                      <a:picLocks noChangeAspect="1" noChangeArrowheads="1"/>
                    </pic:cNvPicPr>
                  </pic:nvPicPr>
                  <pic:blipFill>
                    <a:blip r:embed="rId6" cstate="print"/>
                    <a:srcRect/>
                    <a:stretch>
                      <a:fillRect/>
                    </a:stretch>
                  </pic:blipFill>
                  <pic:spPr>
                    <a:xfrm>
                      <a:off x="0" y="0"/>
                      <a:ext cx="472440" cy="48323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360" w:lineRule="auto"/>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auto"/>
        <w:ind w:firstLine="843" w:firstLineChars="400"/>
        <w:rPr>
          <w:rFonts w:ascii="宋体"/>
          <w:b/>
          <w:color w:val="000000"/>
        </w:rPr>
      </w:pPr>
      <w:r>
        <w:rPr>
          <w:rFonts w:ascii="宋体" w:hAnsi="宋体"/>
          <w:b/>
          <w:color w:val="000000"/>
        </w:rPr>
        <w:drawing>
          <wp:anchor distT="0" distB="0" distL="0" distR="0" simplePos="0" relativeHeight="251659264" behindDoc="0" locked="0" layoutInCell="1" allowOverlap="1">
            <wp:simplePos x="0" y="0"/>
            <wp:positionH relativeFrom="column">
              <wp:posOffset>1737995</wp:posOffset>
            </wp:positionH>
            <wp:positionV relativeFrom="paragraph">
              <wp:posOffset>26670</wp:posOffset>
            </wp:positionV>
            <wp:extent cx="608330" cy="382270"/>
            <wp:effectExtent l="0" t="0" r="1270" b="13970"/>
            <wp:wrapNone/>
            <wp:docPr id="16"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608330" cy="382270"/>
                    </a:xfrm>
                    <a:prstGeom prst="rect">
                      <a:avLst/>
                    </a:prstGeom>
                    <a:noFill/>
                    <a:ln w="9525">
                      <a:noFill/>
                      <a:miter lim="800000"/>
                      <a:headEnd/>
                      <a:tailEnd/>
                    </a:ln>
                  </pic:spPr>
                </pic:pic>
              </a:graphicData>
            </a:graphic>
          </wp:anchor>
        </w:drawing>
      </w:r>
      <w:r>
        <w:rPr>
          <w:rFonts w:ascii="宋体" w:hAnsi="宋体"/>
          <w:b/>
          <w:color w:val="000000"/>
        </w:rPr>
        <w:drawing>
          <wp:anchor distT="0" distB="0" distL="0" distR="0" simplePos="0" relativeHeight="251660288" behindDoc="0" locked="0" layoutInCell="1" allowOverlap="1">
            <wp:simplePos x="0" y="0"/>
            <wp:positionH relativeFrom="column">
              <wp:posOffset>2549525</wp:posOffset>
            </wp:positionH>
            <wp:positionV relativeFrom="paragraph">
              <wp:posOffset>31750</wp:posOffset>
            </wp:positionV>
            <wp:extent cx="491490" cy="374015"/>
            <wp:effectExtent l="0" t="0" r="11430" b="6985"/>
            <wp:wrapNone/>
            <wp:docPr id="17"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C:\Users\Administrator\Desktop\签名.jpg"/>
                    <pic:cNvPicPr>
                      <a:picLocks noChangeAspect="1" noChangeArrowheads="1"/>
                    </pic:cNvPicPr>
                  </pic:nvPicPr>
                  <pic:blipFill>
                    <a:blip r:embed="rId8" cstate="print"/>
                    <a:srcRect/>
                    <a:stretch>
                      <a:fillRect/>
                    </a:stretch>
                  </pic:blipFill>
                  <pic:spPr>
                    <a:xfrm>
                      <a:off x="0" y="0"/>
                      <a:ext cx="494032" cy="376295"/>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auto"/>
        <w:ind w:firstLine="843" w:firstLineChars="400"/>
        <w:rPr>
          <w:rFonts w:hint="default" w:ascii="宋体" w:eastAsia="宋体"/>
          <w:b/>
          <w:color w:val="000000"/>
          <w:lang w:val="en-US" w:eastAsia="zh-CN"/>
        </w:rPr>
      </w:pPr>
      <w:r>
        <w:rPr>
          <w:rFonts w:hint="eastAsia" w:ascii="宋体"/>
          <w:b/>
          <w:color w:val="000000"/>
          <w:lang w:val="en-US" w:eastAsia="zh-CN"/>
        </w:rPr>
        <w:t xml:space="preserve">                                            日期：2020.3.28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审核员：文平</w:t>
            </w:r>
          </w:p>
          <w:p>
            <w:pPr>
              <w:spacing w:line="280" w:lineRule="exact"/>
              <w:ind w:firstLine="2871" w:firstLineChars="1300"/>
              <w:rPr>
                <w:b/>
                <w:color w:val="000000"/>
                <w:sz w:val="22"/>
                <w:szCs w:val="22"/>
              </w:rPr>
            </w:pPr>
            <w:bookmarkStart w:id="25" w:name="_GoBack"/>
            <w:bookmarkEnd w:id="25"/>
            <w:r>
              <w:rPr>
                <w:rFonts w:hint="eastAsia"/>
                <w:b/>
                <w:color w:val="000000"/>
                <w:sz w:val="22"/>
                <w:szCs w:val="22"/>
              </w:rPr>
              <w:t xml:space="preserve">日期：2020年 </w:t>
            </w:r>
            <w:r>
              <w:rPr>
                <w:rFonts w:hint="eastAsia"/>
                <w:b/>
                <w:color w:val="000000"/>
                <w:sz w:val="22"/>
                <w:szCs w:val="22"/>
                <w:lang w:val="en-US" w:eastAsia="zh-CN"/>
              </w:rPr>
              <w:t>3</w:t>
            </w:r>
            <w:r>
              <w:rPr>
                <w:rFonts w:hint="eastAsia"/>
                <w:b/>
                <w:color w:val="000000"/>
                <w:sz w:val="22"/>
                <w:szCs w:val="22"/>
              </w:rPr>
              <w:t xml:space="preserve"> 月2</w:t>
            </w:r>
            <w:r>
              <w:rPr>
                <w:rFonts w:hint="eastAsia"/>
                <w:b/>
                <w:color w:val="000000"/>
                <w:sz w:val="22"/>
                <w:szCs w:val="22"/>
                <w:lang w:val="en-US" w:eastAsia="zh-CN"/>
              </w:rPr>
              <w:t>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日期：2020年 </w:t>
            </w:r>
            <w:r>
              <w:rPr>
                <w:rFonts w:hint="eastAsia"/>
                <w:b/>
                <w:color w:val="000000"/>
                <w:sz w:val="22"/>
                <w:szCs w:val="22"/>
                <w:lang w:val="en-US" w:eastAsia="zh-CN"/>
              </w:rPr>
              <w:t>3</w:t>
            </w:r>
            <w:r>
              <w:rPr>
                <w:rFonts w:hint="eastAsia"/>
                <w:b/>
                <w:color w:val="000000"/>
                <w:sz w:val="22"/>
                <w:szCs w:val="22"/>
              </w:rPr>
              <w:t xml:space="preserve"> 月2</w:t>
            </w:r>
            <w:r>
              <w:rPr>
                <w:rFonts w:hint="eastAsia"/>
                <w:b/>
                <w:color w:val="000000"/>
                <w:sz w:val="22"/>
                <w:szCs w:val="22"/>
                <w:lang w:val="en-US" w:eastAsia="zh-CN"/>
              </w:rPr>
              <w:t>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 xml:space="preserve">验证人：文平     日期：2020年 </w:t>
            </w:r>
            <w:r>
              <w:rPr>
                <w:rFonts w:hint="eastAsia"/>
                <w:b/>
                <w:color w:val="000000"/>
                <w:sz w:val="22"/>
                <w:szCs w:val="22"/>
                <w:lang w:val="en-US" w:eastAsia="zh-CN"/>
              </w:rPr>
              <w:t>3</w:t>
            </w:r>
            <w:r>
              <w:rPr>
                <w:rFonts w:hint="eastAsia"/>
                <w:b/>
                <w:color w:val="000000"/>
                <w:sz w:val="22"/>
                <w:szCs w:val="22"/>
              </w:rPr>
              <w:t xml:space="preserve"> 月2</w:t>
            </w:r>
            <w:r>
              <w:rPr>
                <w:rFonts w:hint="eastAsia"/>
                <w:b/>
                <w:color w:val="000000"/>
                <w:sz w:val="22"/>
                <w:szCs w:val="22"/>
                <w:lang w:val="en-US" w:eastAsia="zh-CN"/>
              </w:rPr>
              <w:t>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CD211C"/>
    <w:rsid w:val="3C2F70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2020-03-28T12:17:27Z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