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051-</w:t>
      </w:r>
      <w:r>
        <w:rPr>
          <w:rFonts w:ascii="Times New Roman" w:hAnsi="Times New Roman" w:cs="Times New Roman"/>
          <w:sz w:val="20"/>
          <w:szCs w:val="28"/>
          <w:u w:val="single"/>
        </w:rPr>
        <w:t>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抽查表</w:t>
      </w:r>
    </w:p>
    <w:tbl>
      <w:tblPr>
        <w:tblStyle w:val="6"/>
        <w:tblpPr w:leftFromText="180" w:rightFromText="180" w:vertAnchor="text" w:horzAnchor="margin" w:tblpXSpec="center" w:tblpY="218"/>
        <w:tblW w:w="10905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167"/>
        <w:gridCol w:w="991"/>
        <w:gridCol w:w="1339"/>
        <w:gridCol w:w="1211"/>
        <w:gridCol w:w="1669"/>
        <w:gridCol w:w="1200"/>
        <w:gridCol w:w="108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77" w:type="dxa"/>
            <w:gridSpan w:val="5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/>
                <w:szCs w:val="21"/>
              </w:rPr>
              <w:t>安阳中联水泥有限公司龙安分公司</w:t>
            </w:r>
            <w:bookmarkEnd w:id="0"/>
          </w:p>
        </w:tc>
        <w:tc>
          <w:tcPr>
            <w:tcW w:w="120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于养奇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符合打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246935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（0-300）mm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电子台秤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591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TCS-150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安阳县质量技术监督检验测试中心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电子台秤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588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TCS-150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669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56128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FA1004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Ⅱ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669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F1等级砝码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22691333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DT224S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Ⅱ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66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F1等级砝码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22691290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BT2202S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Ⅱ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66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F1等级砝码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包装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水泥定量包装机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140109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BHYW-8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0.1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66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包装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水泥定量包装机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140110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BHYW-8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0.1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66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0905" w:type="dxa"/>
            <w:gridSpan w:val="9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  <w:r>
              <w:rPr>
                <w:rFonts w:hint="eastAsia"/>
                <w:szCs w:val="21"/>
                <w:lang w:eastAsia="zh-CN"/>
              </w:rPr>
              <w:t>安阳县质量技术监督检验测试中心</w:t>
            </w:r>
            <w:r>
              <w:rPr>
                <w:rFonts w:hint="eastAsia"/>
                <w:szCs w:val="21"/>
              </w:rPr>
              <w:t>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05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bookmarkStart w:id="1" w:name="_GoBack"/>
            <w:bookmarkEnd w:id="1"/>
            <w:r>
              <w:rPr>
                <w:rFonts w:hint="default"/>
                <w:sz w:val="24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1111885</wp:posOffset>
                  </wp:positionH>
                  <wp:positionV relativeFrom="paragraph">
                    <wp:posOffset>173355</wp:posOffset>
                  </wp:positionV>
                  <wp:extent cx="584200" cy="367030"/>
                  <wp:effectExtent l="0" t="0" r="0" b="1270"/>
                  <wp:wrapNone/>
                  <wp:docPr id="24" name="图片 24" descr="5f4167a3f64cf02d39cee354b56e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5f4167a3f64cf02d39cee354b56e0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inline distT="0" distB="0" distL="114300" distR="114300">
                  <wp:extent cx="766445" cy="311150"/>
                  <wp:effectExtent l="0" t="0" r="8255" b="6350"/>
                  <wp:docPr id="22" name="图片 22" descr="a878e2d8bedf003b505c65635f314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a878e2d8bedf003b505c65635f3142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063" t="5319" r="11250" b="36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82317"/>
    <w:rsid w:val="000A236E"/>
    <w:rsid w:val="000C69C1"/>
    <w:rsid w:val="00141F79"/>
    <w:rsid w:val="001C0853"/>
    <w:rsid w:val="001C69C8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7242"/>
    <w:rsid w:val="005D0B42"/>
    <w:rsid w:val="005E2896"/>
    <w:rsid w:val="00616CE9"/>
    <w:rsid w:val="006210E3"/>
    <w:rsid w:val="00636F70"/>
    <w:rsid w:val="00657525"/>
    <w:rsid w:val="0067166C"/>
    <w:rsid w:val="006A3FCE"/>
    <w:rsid w:val="006E01EA"/>
    <w:rsid w:val="006E5F8D"/>
    <w:rsid w:val="007076E0"/>
    <w:rsid w:val="00711A5E"/>
    <w:rsid w:val="0071439B"/>
    <w:rsid w:val="00741392"/>
    <w:rsid w:val="00763F5D"/>
    <w:rsid w:val="00766AFA"/>
    <w:rsid w:val="007A7DFC"/>
    <w:rsid w:val="00802524"/>
    <w:rsid w:val="0081413C"/>
    <w:rsid w:val="00816CDC"/>
    <w:rsid w:val="00830624"/>
    <w:rsid w:val="00845EE7"/>
    <w:rsid w:val="008544CF"/>
    <w:rsid w:val="0085467A"/>
    <w:rsid w:val="00884F4A"/>
    <w:rsid w:val="008D01A0"/>
    <w:rsid w:val="00901F02"/>
    <w:rsid w:val="00910F61"/>
    <w:rsid w:val="00923B31"/>
    <w:rsid w:val="00933CD7"/>
    <w:rsid w:val="00943D20"/>
    <w:rsid w:val="00957382"/>
    <w:rsid w:val="00982CED"/>
    <w:rsid w:val="009876F5"/>
    <w:rsid w:val="009C6468"/>
    <w:rsid w:val="009E059D"/>
    <w:rsid w:val="009E173A"/>
    <w:rsid w:val="009F652A"/>
    <w:rsid w:val="00A10BE3"/>
    <w:rsid w:val="00A13FE4"/>
    <w:rsid w:val="00A20D62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BE60A4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2482C"/>
    <w:rsid w:val="00D42CA9"/>
    <w:rsid w:val="00D4722A"/>
    <w:rsid w:val="00D5445C"/>
    <w:rsid w:val="00D5515E"/>
    <w:rsid w:val="00D57C29"/>
    <w:rsid w:val="00D82B51"/>
    <w:rsid w:val="00DD3B11"/>
    <w:rsid w:val="00E556AE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B541A6"/>
    <w:rsid w:val="035D47FF"/>
    <w:rsid w:val="047C5B4F"/>
    <w:rsid w:val="081B588B"/>
    <w:rsid w:val="08730344"/>
    <w:rsid w:val="09732ABB"/>
    <w:rsid w:val="0BF520FD"/>
    <w:rsid w:val="0D091A8B"/>
    <w:rsid w:val="11661E8D"/>
    <w:rsid w:val="1181102A"/>
    <w:rsid w:val="122C3BE4"/>
    <w:rsid w:val="13C36D51"/>
    <w:rsid w:val="16D400EF"/>
    <w:rsid w:val="177F2C38"/>
    <w:rsid w:val="190A6945"/>
    <w:rsid w:val="1A3525EB"/>
    <w:rsid w:val="1C2E3114"/>
    <w:rsid w:val="1C73617B"/>
    <w:rsid w:val="21C405FE"/>
    <w:rsid w:val="249C7E16"/>
    <w:rsid w:val="24AD2B67"/>
    <w:rsid w:val="28B16F58"/>
    <w:rsid w:val="28B4328C"/>
    <w:rsid w:val="2D0F099C"/>
    <w:rsid w:val="306F06A4"/>
    <w:rsid w:val="35EA5FAC"/>
    <w:rsid w:val="37E6583C"/>
    <w:rsid w:val="38280FEB"/>
    <w:rsid w:val="3BED5B31"/>
    <w:rsid w:val="3DD138B4"/>
    <w:rsid w:val="3EA43E35"/>
    <w:rsid w:val="4036546A"/>
    <w:rsid w:val="406D74B0"/>
    <w:rsid w:val="4206500A"/>
    <w:rsid w:val="43955013"/>
    <w:rsid w:val="450E45EA"/>
    <w:rsid w:val="4547213A"/>
    <w:rsid w:val="462B4A43"/>
    <w:rsid w:val="4AB65BA3"/>
    <w:rsid w:val="4D31371C"/>
    <w:rsid w:val="50233A6B"/>
    <w:rsid w:val="5167701A"/>
    <w:rsid w:val="54954B72"/>
    <w:rsid w:val="58CF1A2F"/>
    <w:rsid w:val="5FA54F9F"/>
    <w:rsid w:val="625F2B22"/>
    <w:rsid w:val="6CBB7726"/>
    <w:rsid w:val="6DE41069"/>
    <w:rsid w:val="6E5E7960"/>
    <w:rsid w:val="6FBF39C1"/>
    <w:rsid w:val="6FC643DD"/>
    <w:rsid w:val="70462148"/>
    <w:rsid w:val="79A36732"/>
    <w:rsid w:val="7B18314A"/>
    <w:rsid w:val="7D3E6822"/>
    <w:rsid w:val="7D754E90"/>
    <w:rsid w:val="7DED2E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624</Characters>
  <Lines>5</Lines>
  <Paragraphs>1</Paragraphs>
  <TotalTime>0</TotalTime>
  <ScaleCrop>false</ScaleCrop>
  <LinksUpToDate>false</LinksUpToDate>
  <CharactersWithSpaces>732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2020-03-26T11:13:18Z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