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双李家具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74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15日 上午至2023年07月1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