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南京德科电力科技有限公司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王真平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南京德科电力科技有限公司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南京市玄武区玄武大道108号徐庄高新区二期聚慧园5号楼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南京市玄武区玄武大道108号徐庄高新区二期聚慧园5号楼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侯健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18251882558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环境及电力电子传感器监测设备、通讯及电力自动化仪器仪表设备、智能安防节能设备的一体化软硬件研发、销售及技术服务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29.12.00;33.02.01;34.05.00;34.06.00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--不适用</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pacing w:val="-20"/>
                <w:sz w:val="20"/>
                <w:szCs w:val="20"/>
                <w:lang w:val="en-US" w:eastAsia="zh-CN"/>
              </w:rPr>
              <w:t>--不适用</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color w:val="000000" w:themeColor="text1"/>
                <w:sz w:val="20"/>
                <w:szCs w:val="20"/>
              </w:rPr>
              <w:t>领导层</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内外部环境、领导作用、风险识别、体系策划、资源支持、管理评审、持续改进等，</w:t>
            </w:r>
            <w:r>
              <w:rPr>
                <w:rFonts w:ascii="宋体" w:hAnsi="宋体"/>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spacing w:val="-20"/>
                <w:szCs w:val="21"/>
              </w:rPr>
              <w:t>文件和记录控制过程；人力资源管理过程；资源提供与管理过程控制；</w:t>
            </w:r>
            <w:r>
              <w:rPr>
                <w:rFonts w:hint="eastAsia" w:ascii="宋体" w:hAnsi="宋体"/>
                <w:bCs/>
                <w:color w:val="auto"/>
                <w:spacing w:val="-20"/>
                <w:szCs w:val="21"/>
              </w:rPr>
              <w:t>原料采购</w:t>
            </w:r>
            <w:r>
              <w:rPr>
                <w:rFonts w:hint="eastAsia" w:ascii="宋体" w:hAnsi="宋体"/>
                <w:bCs/>
                <w:color w:val="auto"/>
                <w:spacing w:val="-20"/>
                <w:szCs w:val="21"/>
                <w:lang w:eastAsia="zh-CN"/>
              </w:rPr>
              <w:t>、</w:t>
            </w:r>
            <w:r>
              <w:rPr>
                <w:rFonts w:hint="eastAsia" w:ascii="宋体" w:hAnsi="宋体"/>
                <w:bCs/>
                <w:color w:val="auto"/>
                <w:spacing w:val="-20"/>
                <w:szCs w:val="21"/>
              </w:rPr>
              <w:t>产品的销售、客户满意调查</w:t>
            </w:r>
            <w:r>
              <w:rPr>
                <w:rFonts w:hint="eastAsia" w:ascii="宋体" w:hAnsi="宋体"/>
                <w:bCs/>
                <w:color w:val="auto"/>
                <w:spacing w:val="-20"/>
                <w:szCs w:val="21"/>
                <w:lang w:eastAsia="zh-CN"/>
              </w:rPr>
              <w:t>、</w:t>
            </w:r>
            <w:r>
              <w:rPr>
                <w:rFonts w:hint="eastAsia" w:ascii="宋体" w:hAnsi="宋体"/>
                <w:bCs/>
                <w:spacing w:val="-20"/>
                <w:szCs w:val="21"/>
              </w:rPr>
              <w:t>投诉处理过程、</w:t>
            </w:r>
            <w:r>
              <w:rPr>
                <w:rFonts w:hint="eastAsia" w:ascii="宋体" w:hAnsi="宋体"/>
                <w:bCs/>
                <w:color w:val="auto"/>
                <w:spacing w:val="-20"/>
                <w:szCs w:val="21"/>
              </w:rPr>
              <w:t>产品的运输</w:t>
            </w:r>
            <w:r>
              <w:rPr>
                <w:rFonts w:hint="eastAsia" w:ascii="宋体" w:hAnsi="宋体"/>
                <w:bCs/>
                <w:color w:val="auto"/>
                <w:spacing w:val="-20"/>
                <w:szCs w:val="21"/>
                <w:lang w:eastAsia="zh-CN"/>
              </w:rPr>
              <w:t>；</w:t>
            </w:r>
            <w:r>
              <w:rPr>
                <w:rFonts w:hint="eastAsia" w:ascii="宋体" w:hAnsi="宋体"/>
                <w:bCs/>
                <w:spacing w:val="-20"/>
                <w:szCs w:val="21"/>
              </w:rPr>
              <w:t>内外部信息交流过程；内审管理；内外部信息交流、风险评价和风险控制措施的确定等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生技部</w:t>
            </w:r>
          </w:p>
        </w:tc>
        <w:tc>
          <w:tcPr>
            <w:tcW w:w="6804" w:type="dxa"/>
            <w:vAlign w:val="top"/>
          </w:tcPr>
          <w:p>
            <w:pPr>
              <w:spacing w:line="320" w:lineRule="exact"/>
              <w:jc w:val="left"/>
              <w:rPr>
                <w:rFonts w:ascii="宋体" w:hAnsi="宋体"/>
                <w:b/>
                <w:color w:val="000000" w:themeColor="text1"/>
                <w:spacing w:val="-20"/>
                <w:sz w:val="20"/>
                <w:szCs w:val="20"/>
                <w:u w:val="single"/>
              </w:rPr>
            </w:pPr>
            <w:r>
              <w:rPr>
                <w:rFonts w:hint="eastAsia" w:ascii="宋体" w:hAnsi="宋体"/>
                <w:bCs/>
                <w:color w:val="auto"/>
                <w:spacing w:val="-20"/>
                <w:szCs w:val="21"/>
              </w:rPr>
              <w:t>监视和测量过程、不合格品控制、纠正和预防措施的控制、监视和测量设备控制过程</w:t>
            </w:r>
            <w:r>
              <w:rPr>
                <w:rFonts w:hint="eastAsia" w:ascii="宋体" w:hAnsi="宋体"/>
                <w:bCs/>
                <w:spacing w:val="-20"/>
                <w:szCs w:val="21"/>
              </w:rPr>
              <w:t>、</w:t>
            </w:r>
            <w:r>
              <w:rPr>
                <w:rFonts w:hint="eastAsia" w:ascii="宋体" w:hAnsi="宋体"/>
                <w:bCs/>
                <w:spacing w:val="-20"/>
                <w:szCs w:val="21"/>
                <w:lang w:val="en-US" w:eastAsia="zh-CN"/>
              </w:rPr>
              <w:t>生产服务设计研发</w:t>
            </w:r>
            <w:r>
              <w:rPr>
                <w:rFonts w:hint="eastAsia" w:ascii="宋体" w:hAnsi="宋体"/>
                <w:bCs/>
                <w:spacing w:val="-20"/>
                <w:szCs w:val="21"/>
              </w:rPr>
              <w:t>、过程环境、服务策划和实现过程、产品和服务的要求、纠正预防、改进、管理体系运行过程控制等；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auto"/>
                <w:sz w:val="20"/>
                <w:szCs w:val="20"/>
              </w:rPr>
            </w:pPr>
            <w:r>
              <w:rPr>
                <w:rFonts w:hint="eastAsia"/>
                <w:b/>
                <w:color w:val="auto"/>
                <w:sz w:val="20"/>
                <w:szCs w:val="20"/>
              </w:rPr>
              <w:t>型号/</w:t>
            </w:r>
          </w:p>
          <w:p>
            <w:pPr>
              <w:rPr>
                <w:b/>
                <w:color w:val="0000FF"/>
                <w:sz w:val="20"/>
                <w:szCs w:val="20"/>
              </w:rPr>
            </w:pPr>
            <w:r>
              <w:rPr>
                <w:rFonts w:hint="eastAsia"/>
                <w:b/>
                <w:color w:val="auto"/>
                <w:sz w:val="20"/>
                <w:szCs w:val="20"/>
              </w:rPr>
              <w:t>服务类型</w:t>
            </w:r>
          </w:p>
        </w:tc>
        <w:tc>
          <w:tcPr>
            <w:tcW w:w="1843" w:type="dxa"/>
          </w:tcPr>
          <w:p>
            <w:pPr>
              <w:rPr>
                <w:b/>
                <w:color w:val="0000FF"/>
                <w:sz w:val="20"/>
                <w:szCs w:val="20"/>
              </w:rPr>
            </w:pPr>
            <w:r>
              <w:rPr>
                <w:rFonts w:hint="eastAsia"/>
                <w:b/>
                <w:color w:val="auto"/>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环境及电力电子传感器监测设备、通讯及电力自动化仪器仪表设备、智能安防节能设备的一体化软硬件研发、销售及技术服务</w:t>
            </w:r>
          </w:p>
        </w:tc>
        <w:tc>
          <w:tcPr>
            <w:tcW w:w="2519" w:type="dxa"/>
          </w:tcPr>
          <w:p>
            <w:pPr>
              <w:rPr>
                <w:rFonts w:hint="eastAsia" w:eastAsia="宋体"/>
                <w:b/>
                <w:color w:val="000000" w:themeColor="text1"/>
                <w:sz w:val="20"/>
                <w:szCs w:val="20"/>
                <w:lang w:val="en-US" w:eastAsia="zh-CN"/>
              </w:rPr>
            </w:pPr>
            <w:r>
              <w:rPr>
                <w:rFonts w:hint="eastAsia"/>
                <w:sz w:val="20"/>
                <w:lang w:val="en-US" w:eastAsia="zh-CN"/>
              </w:rPr>
              <w:t>物联网生态环境监测设备v2.0</w:t>
            </w:r>
          </w:p>
        </w:tc>
        <w:tc>
          <w:tcPr>
            <w:tcW w:w="1843" w:type="dxa"/>
          </w:tcPr>
          <w:p>
            <w:pPr>
              <w:rPr>
                <w:b/>
                <w:color w:val="000000" w:themeColor="text1"/>
                <w:sz w:val="20"/>
                <w:szCs w:val="20"/>
              </w:rPr>
            </w:pPr>
            <w:r>
              <w:rPr>
                <w:rFonts w:hint="eastAsia" w:eastAsia="宋体"/>
                <w:color w:val="auto"/>
              </w:rPr>
              <w:t>O</w:t>
            </w:r>
            <w:r>
              <w:rPr>
                <w:rFonts w:eastAsia="宋体"/>
                <w:color w:val="auto"/>
              </w:rPr>
              <w:t>BO1A</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按照客户要求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auto"/>
          <w:spacing w:val="-10"/>
          <w:szCs w:val="21"/>
        </w:rPr>
        <w:t>日</w:t>
      </w:r>
      <w:bookmarkEnd w:id="20"/>
      <w:r>
        <w:rPr>
          <w:rFonts w:hint="eastAsia"/>
          <w:b/>
          <w:color w:val="auto"/>
          <w:spacing w:val="-10"/>
          <w:szCs w:val="21"/>
        </w:rPr>
        <w:t>至</w:t>
      </w:r>
      <w:r>
        <w:rPr>
          <w:rFonts w:hint="eastAsia"/>
          <w:b/>
          <w:color w:val="auto"/>
          <w:spacing w:val="-10"/>
          <w:szCs w:val="21"/>
          <w:lang w:val="en-US" w:eastAsia="zh-CN"/>
        </w:rPr>
        <w:t>2020</w:t>
      </w:r>
      <w:r>
        <w:rPr>
          <w:rFonts w:hint="eastAsia"/>
          <w:b/>
          <w:color w:val="auto"/>
          <w:spacing w:val="-10"/>
          <w:szCs w:val="21"/>
        </w:rPr>
        <w:t>年</w:t>
      </w:r>
      <w:r>
        <w:rPr>
          <w:rFonts w:hint="eastAsia"/>
          <w:b/>
          <w:color w:val="auto"/>
          <w:spacing w:val="-10"/>
          <w:szCs w:val="21"/>
          <w:lang w:val="en-US" w:eastAsia="zh-CN"/>
        </w:rPr>
        <w:t>3</w:t>
      </w:r>
      <w:r>
        <w:rPr>
          <w:rFonts w:hint="eastAsia"/>
          <w:b/>
          <w:color w:val="auto"/>
          <w:spacing w:val="-10"/>
          <w:szCs w:val="21"/>
        </w:rPr>
        <w:t>月</w:t>
      </w:r>
      <w:r>
        <w:rPr>
          <w:rFonts w:hint="eastAsia"/>
          <w:b/>
          <w:color w:val="auto"/>
          <w:spacing w:val="-10"/>
          <w:szCs w:val="21"/>
          <w:lang w:val="en-US" w:eastAsia="zh-CN"/>
        </w:rPr>
        <w:t>23</w:t>
      </w:r>
      <w:r>
        <w:rPr>
          <w:rFonts w:hint="eastAsia"/>
          <w:b/>
          <w:color w:val="auto"/>
          <w:spacing w:val="-10"/>
          <w:szCs w:val="21"/>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公司位于</w:t>
            </w:r>
            <w:bookmarkStart w:id="21" w:name="生产地址"/>
            <w:r>
              <w:rPr>
                <w:rFonts w:hint="eastAsia" w:ascii="宋体" w:hAnsi="宋体" w:cs="宋体"/>
                <w:color w:val="auto"/>
                <w:szCs w:val="21"/>
                <w:lang w:val="en-US" w:eastAsia="zh-CN"/>
              </w:rPr>
              <w:t>南京市玄武区玄武大道108号徐庄高新区二期聚慧园5号楼</w:t>
            </w:r>
            <w:bookmarkEnd w:id="21"/>
            <w:r>
              <w:rPr>
                <w:rFonts w:hint="eastAsia" w:ascii="宋体" w:hAnsi="宋体" w:cs="宋体"/>
                <w:color w:val="auto"/>
                <w:szCs w:val="21"/>
                <w:lang w:val="en-US" w:eastAsia="zh-CN"/>
              </w:rPr>
              <w:t>，成立于2016年 , 专业生产环境及电力电子传感器监测设备、通讯及电力自动化仪器仪表设备、智能安防节能设备的一体化软硬件研发、销售及技术服务。公司宗旨：提供最快捷周到的售前售后服务，最完善的整体解决方案。</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为用户提供高品质，专业级的产品是南京科德电力科技有限公司一贯经营理念。</w:t>
            </w:r>
          </w:p>
          <w:p>
            <w:p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tabs>
                <w:tab w:val="left" w:pos="180"/>
                <w:tab w:val="left" w:pos="360"/>
                <w:tab w:val="left" w:pos="1080"/>
                <w:tab w:val="center" w:pos="4620"/>
              </w:tabs>
              <w:spacing w:line="360" w:lineRule="exact"/>
              <w:ind w:firstLine="420" w:firstLineChars="200"/>
              <w:rPr>
                <w:rFonts w:ascii="宋体" w:hAnsi="宋体"/>
                <w:szCs w:val="21"/>
              </w:rPr>
            </w:pPr>
            <w:r>
              <w:rPr>
                <w:rFonts w:hint="eastAsia" w:cs="宋体"/>
                <w:szCs w:val="21"/>
              </w:rPr>
              <w:t>在公司运营过程中充分考虑相关方方面的期望或要求，</w:t>
            </w:r>
            <w:r>
              <w:rPr>
                <w:rFonts w:hint="eastAsia" w:ascii="宋体" w:hAnsi="宋体"/>
                <w:szCs w:val="21"/>
              </w:rPr>
              <w:t>已识别公司的相关方涉及到</w:t>
            </w:r>
            <w:r>
              <w:rPr>
                <w:rFonts w:hint="eastAsia" w:ascii="宋体" w:hAnsi="宋体"/>
                <w:szCs w:val="21"/>
                <w:lang w:val="en-US" w:eastAsia="zh-CN"/>
              </w:rPr>
              <w:t>：顾客、供方、员工、周边企业、审核机构、公司经营者、政府机构</w:t>
            </w:r>
            <w:r>
              <w:rPr>
                <w:rFonts w:hint="eastAsia" w:ascii="宋体" w:hAnsi="宋体"/>
                <w:szCs w:val="21"/>
              </w:rPr>
              <w:t>等。</w:t>
            </w:r>
          </w:p>
          <w:p>
            <w:pPr>
              <w:ind w:firstLine="420" w:firstLineChars="200"/>
              <w:rPr>
                <w:rFonts w:hint="eastAsia" w:ascii="宋体" w:hAnsi="宋体" w:cs="宋体"/>
                <w:color w:val="auto"/>
                <w:szCs w:val="21"/>
                <w:lang w:val="en-US" w:eastAsia="zh-CN"/>
              </w:rPr>
            </w:pPr>
            <w:r>
              <w:rPr>
                <w:rFonts w:hint="eastAsia" w:ascii="宋体" w:hAnsi="宋体" w:cs="宋体"/>
                <w:szCs w:val="21"/>
                <w:lang w:val="en-US" w:eastAsia="zh-CN"/>
              </w:rPr>
              <w:t>生技部</w:t>
            </w:r>
            <w:r>
              <w:rPr>
                <w:rFonts w:hint="eastAsia" w:ascii="宋体" w:hAnsi="宋体" w:cs="宋体"/>
                <w:szCs w:val="21"/>
              </w:rPr>
              <w:t>、</w:t>
            </w:r>
            <w:r>
              <w:rPr>
                <w:rFonts w:hint="eastAsia" w:ascii="宋体" w:hAnsi="宋体" w:cs="宋体"/>
                <w:szCs w:val="21"/>
                <w:lang w:val="en-US" w:eastAsia="zh-CN"/>
              </w:rPr>
              <w:t>综合部</w:t>
            </w:r>
            <w:r>
              <w:rPr>
                <w:rFonts w:hint="eastAsia" w:ascii="宋体" w:hAnsi="宋体" w:cs="宋体"/>
                <w:szCs w:val="21"/>
              </w:rPr>
              <w:t>等相关职能部门通过■日常例会、□市场活动、■现场拜访、□产品展销会、■客户调查等多种渠道和方式方法随时了解相关方的需求和期望。作为公司经营风险分析和发展机遇</w:t>
            </w:r>
            <w:r>
              <w:rPr>
                <w:rFonts w:hint="eastAsia" w:ascii="宋体" w:hAnsi="宋体" w:cs="宋体"/>
                <w:color w:val="auto"/>
                <w:szCs w:val="21"/>
                <w:lang w:val="en-US" w:eastAsia="zh-CN"/>
              </w:rPr>
              <w:t>的可利用资源。</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与公司高管交流，内外部相关方需求分析到位。口头交流。</w:t>
            </w:r>
          </w:p>
          <w:p>
            <w:pPr>
              <w:ind w:firstLine="420" w:firstLineChars="200"/>
              <w:rPr>
                <w:rFonts w:hint="eastAsia"/>
                <w:b/>
                <w:color w:val="000000" w:themeColor="text1"/>
                <w:sz w:val="20"/>
                <w:szCs w:val="20"/>
              </w:rPr>
            </w:pPr>
            <w:r>
              <w:rPr>
                <w:rFonts w:hint="eastAsia" w:ascii="宋体" w:hAnsi="宋体" w:cs="宋体"/>
                <w:color w:val="auto"/>
                <w:szCs w:val="21"/>
                <w:lang w:val="en-US" w:eastAsia="zh-C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企业质量方针：“规范管理、周到服务、客户满意、持续改进。”</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p>
          <w:p>
            <w:pPr>
              <w:ind w:firstLine="420" w:firstLineChars="200"/>
              <w:rPr>
                <w:b/>
                <w:color w:val="000000" w:themeColor="text1"/>
              </w:rPr>
            </w:pPr>
            <w:r>
              <w:rPr>
                <w:rFonts w:hint="eastAsia" w:ascii="宋体" w:hAnsi="宋体" w:cs="宋体"/>
                <w:color w:val="auto"/>
                <w:szCs w:val="21"/>
              </w:rPr>
              <w:t>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提供了《风险和机遇评估分析表》，针对识别的内外部风险和机遇，制定了相应的应对措施，针对法律法规的变化，可以要求主要职能部门按照要求加强法律法规的收集评价；针对基础设施的机遇，可以加强维护保养，确保设备的性能和精度长期稳定。</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提供公司质量管理体《过程风险与机遇评价与应对策划表》，对人力资源控制、检验过程、原材料的采购风险、订单评审过程、文件记录管理过程等进行了措施应对策划。</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采取措施是：</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定期汇总分析市场情况，包括行业发展情况，相关企业产品分析，竞品分析，行业政策跟踪，以保证随时掌握行业及竞争企业的发展动态，为销售业务拓展提供决策依据；</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市场推广风险:要求要提前策划广告宣传力度、提高公司产品质量才能够吸引大众的眼光，进而的到更多人的眼球，进而得到更多的消费人群。</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每月按照合同、协议对账时间及时对账，催款，回款，降低资金风险。</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公司提供财务支持，对主要供应商的优质产品保持价格优势，促进有序采购；</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及时获取顾客要求，对供货商进行严格资质评定，有质量要求的产品要求提供检测报告或材质单应急准备与响应控制程序、应急预案/制定目标等。</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风险机遇识别基本充分，应对风险和机遇的措施基本适宜。</w:t>
            </w:r>
          </w:p>
          <w:p>
            <w:pPr>
              <w:ind w:firstLine="420" w:firstLineChars="200"/>
              <w:rPr>
                <w:rFonts w:hint="eastAsia"/>
                <w:b/>
                <w:color w:val="000000" w:themeColor="text1"/>
              </w:rPr>
            </w:pPr>
            <w:r>
              <w:rPr>
                <w:rFonts w:hint="eastAsia" w:ascii="宋体" w:hAnsi="宋体" w:cs="宋体"/>
                <w:color w:val="auto"/>
                <w:szCs w:val="21"/>
                <w:lang w:val="en-US" w:eastAsia="zh-CN"/>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spacing w:line="240" w:lineRule="exact"/>
              <w:rPr>
                <w:rFonts w:hint="eastAsia"/>
                <w:color w:val="auto"/>
                <w:sz w:val="20"/>
                <w:szCs w:val="20"/>
                <w:lang w:val="en-US" w:eastAsia="zh-CN"/>
              </w:rPr>
            </w:pPr>
            <w:r>
              <w:rPr>
                <w:rFonts w:hint="eastAsia" w:ascii="宋体" w:hAnsi="宋体"/>
                <w:b/>
                <w:color w:val="auto"/>
                <w:sz w:val="20"/>
                <w:szCs w:val="20"/>
              </w:rPr>
              <w:t>质量管理体系过程有：</w:t>
            </w:r>
            <w:r>
              <w:rPr>
                <w:rFonts w:hint="eastAsia"/>
                <w:color w:val="auto"/>
                <w:sz w:val="20"/>
                <w:szCs w:val="20"/>
                <w:lang w:val="en-US" w:eastAsia="zh-CN"/>
              </w:rPr>
              <w:t>1.软件设计开发流程：需求分析→概要设计→详细设计→软件编码→软件测试→用户验收→运行维护</w:t>
            </w:r>
          </w:p>
          <w:p>
            <w:pPr>
              <w:spacing w:line="240" w:lineRule="exact"/>
              <w:rPr>
                <w:color w:val="auto"/>
                <w:sz w:val="20"/>
                <w:szCs w:val="20"/>
              </w:rPr>
            </w:pPr>
            <w:r>
              <w:rPr>
                <w:rFonts w:hint="eastAsia"/>
                <w:color w:val="auto"/>
                <w:sz w:val="20"/>
                <w:szCs w:val="20"/>
                <w:lang w:val="en-US" w:eastAsia="zh-CN"/>
              </w:rPr>
              <w:t>2.硬件研发、组装流程：产品研发→设计控制→转入生产→原材料采购/外协→入库检验→装配→调试→通电老化→检验→包装入库→交付及售后服务</w:t>
            </w:r>
          </w:p>
          <w:p>
            <w:pPr>
              <w:tabs>
                <w:tab w:val="left" w:pos="540"/>
              </w:tabs>
              <w:spacing w:line="300" w:lineRule="exact"/>
              <w:ind w:left="201" w:hanging="200" w:hangingChars="100"/>
              <w:rPr>
                <w:rFonts w:hint="default" w:ascii="宋体" w:hAnsi="宋体" w:eastAsia="宋体"/>
                <w:b/>
                <w:color w:val="auto"/>
                <w:sz w:val="20"/>
                <w:szCs w:val="20"/>
                <w:u w:val="single"/>
                <w:lang w:val="en-US" w:eastAsia="zh-CN"/>
              </w:rPr>
            </w:pPr>
            <w:r>
              <w:rPr>
                <w:rFonts w:hint="eastAsia"/>
                <w:color w:val="auto"/>
                <w:sz w:val="20"/>
                <w:szCs w:val="20"/>
              </w:rPr>
              <w:t>3.销售服务流程：顾客沟通→合同评审→签订合同→实施采购→供方送货→顾客签收→交付及售后服务</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p>
          <w:p>
            <w:pPr>
              <w:tabs>
                <w:tab w:val="left" w:pos="540"/>
              </w:tabs>
              <w:spacing w:line="300" w:lineRule="exact"/>
              <w:ind w:left="201" w:hanging="201" w:hangingChars="100"/>
              <w:rPr>
                <w:rFonts w:ascii="宋体" w:hAnsi="宋体"/>
                <w:b/>
                <w:color w:val="0000FF"/>
                <w:sz w:val="20"/>
                <w:szCs w:val="20"/>
              </w:rPr>
            </w:pPr>
            <w:r>
              <w:rPr>
                <w:b/>
                <w:color w:val="auto"/>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w:t>
            </w:r>
            <w:r>
              <w:rPr>
                <w:rFonts w:hint="eastAsia" w:ascii="宋体" w:hAnsi="宋体"/>
                <w:b/>
                <w:color w:val="auto"/>
                <w:sz w:val="20"/>
                <w:szCs w:val="20"/>
                <w:lang w:val="en-US" w:eastAsia="zh-CN"/>
              </w:rPr>
              <w:t>无</w:t>
            </w:r>
            <w:r>
              <w:rPr>
                <w:rFonts w:hint="eastAsia" w:ascii="宋体" w:hAnsi="宋体"/>
                <w:b/>
                <w:color w:val="auto"/>
                <w:sz w:val="20"/>
                <w:szCs w:val="20"/>
              </w:rPr>
              <w:t xml:space="preserve">      ，不适用理由：                                                  </w:t>
            </w:r>
            <w:r>
              <w:rPr>
                <w:rFonts w:hint="eastAsia" w:ascii="宋体" w:hAnsi="宋体"/>
                <w:b/>
                <w:color w:val="0000FF"/>
                <w:sz w:val="20"/>
                <w:szCs w:val="20"/>
              </w:rPr>
              <w:t xml:space="preserve">  </w:t>
            </w:r>
          </w:p>
          <w:p>
            <w:pPr>
              <w:tabs>
                <w:tab w:val="left" w:pos="540"/>
              </w:tabs>
              <w:spacing w:line="300" w:lineRule="exact"/>
              <w:ind w:left="201" w:hanging="201" w:hangingChars="100"/>
              <w:rPr>
                <w:rFonts w:ascii="宋体" w:hAnsi="宋体"/>
                <w:b/>
                <w:color w:val="0000FF"/>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法律法规的宣传方式：■会议传达、■规章制度张贴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zCs w:val="21"/>
              </w:rPr>
            </w:pPr>
            <w:r>
              <w:rPr>
                <w:rFonts w:hint="eastAsia"/>
                <w:b/>
                <w:color w:val="auto"/>
                <w:szCs w:val="21"/>
              </w:rPr>
              <w:t xml:space="preserve">5.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spacing w:line="240" w:lineRule="exact"/>
              <w:rPr>
                <w:rFonts w:ascii="宋体" w:hAnsi="宋体"/>
                <w:b/>
                <w:color w:val="000000" w:themeColor="text1"/>
              </w:rPr>
            </w:pPr>
          </w:p>
          <w:p>
            <w:pPr>
              <w:spacing w:line="340" w:lineRule="exact"/>
              <w:rPr>
                <w:rFonts w:hint="eastAsia" w:ascii="宋体" w:hAnsi="宋体" w:eastAsia="宋体"/>
                <w:sz w:val="24"/>
                <w:lang w:val="en-US" w:eastAsia="zh-CN"/>
              </w:rPr>
            </w:pPr>
            <w:r>
              <w:rPr>
                <w:rFonts w:hint="eastAsia" w:ascii="宋体" w:hAnsi="宋体"/>
                <w:sz w:val="24"/>
                <w:lang w:val="en-US" w:eastAsia="zh-CN"/>
              </w:rPr>
              <w:t>企业质量目标：合同履约率达到98%以上，测量方法：</w:t>
            </w:r>
            <w:r>
              <w:rPr>
                <w:rFonts w:hint="eastAsia"/>
                <w:spacing w:val="-6"/>
                <w:szCs w:val="21"/>
              </w:rPr>
              <w:t>交付数/合格数×100%</w:t>
            </w:r>
            <w:r>
              <w:rPr>
                <w:rFonts w:hint="eastAsia" w:ascii="宋体" w:hAnsi="宋体"/>
                <w:sz w:val="24"/>
                <w:lang w:val="en-US" w:eastAsia="zh-CN"/>
              </w:rPr>
              <w:t>；顾客满意度达到90%，测量方法：</w:t>
            </w:r>
            <w:r>
              <w:rPr>
                <w:rFonts w:hint="eastAsia"/>
                <w:spacing w:val="-6"/>
                <w:szCs w:val="21"/>
              </w:rPr>
              <w:t>数据统计分析</w:t>
            </w:r>
            <w:r>
              <w:rPr>
                <w:rFonts w:hint="eastAsia"/>
                <w:spacing w:val="-6"/>
                <w:szCs w:val="21"/>
                <w:lang w:eastAsia="zh-CN"/>
              </w:rPr>
              <w:t>。</w:t>
            </w:r>
          </w:p>
          <w:p>
            <w:pPr>
              <w:spacing w:line="240" w:lineRule="exact"/>
              <w:rPr>
                <w:rFonts w:hint="eastAsia" w:ascii="宋体" w:hAnsi="宋体" w:eastAsia="宋体"/>
                <w:b/>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ascii="宋体" w:hAnsi="宋体"/>
                <w:b/>
                <w:color w:val="auto"/>
                <w:sz w:val="20"/>
                <w:szCs w:val="20"/>
              </w:rPr>
              <w:t>有</w:t>
            </w:r>
            <w:r>
              <w:rPr>
                <w:rFonts w:hint="eastAsia" w:ascii="宋体" w:hAnsi="宋体"/>
                <w:b/>
                <w:color w:val="auto"/>
                <w:sz w:val="20"/>
                <w:szCs w:val="20"/>
              </w:rPr>
              <w:t>《文件控制程序》和《记录控制程序》；体系文件基本能够符合ISO9001:2015的要求；文件从编制、审批到发放、修订均可受控；外来文件（包括法律法规）收集比较全面，并纳入日常的管理中。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ascii="宋体" w:hAnsi="宋体"/>
                <w:b/>
                <w:color w:val="auto"/>
                <w:sz w:val="20"/>
                <w:szCs w:val="20"/>
              </w:rPr>
              <w:t>公司共有员工</w:t>
            </w:r>
            <w:r>
              <w:rPr>
                <w:rFonts w:hint="eastAsia" w:ascii="宋体" w:hAnsi="宋体"/>
                <w:b/>
                <w:color w:val="auto"/>
                <w:sz w:val="20"/>
                <w:szCs w:val="20"/>
                <w:lang w:val="en-US" w:eastAsia="zh-CN"/>
              </w:rPr>
              <w:t>10</w:t>
            </w:r>
            <w:r>
              <w:rPr>
                <w:rFonts w:hint="eastAsia" w:ascii="宋体" w:hAnsi="宋体"/>
                <w:b/>
                <w:color w:val="auto"/>
                <w:sz w:val="20"/>
                <w:szCs w:val="20"/>
              </w:rPr>
              <w:t>人，管理人员</w:t>
            </w:r>
            <w:r>
              <w:rPr>
                <w:rFonts w:hint="eastAsia" w:ascii="宋体" w:hAnsi="宋体"/>
                <w:b/>
                <w:color w:val="auto"/>
                <w:sz w:val="20"/>
                <w:szCs w:val="20"/>
                <w:lang w:val="en-US" w:eastAsia="zh-CN"/>
              </w:rPr>
              <w:t>3</w:t>
            </w:r>
            <w:r>
              <w:rPr>
                <w:rFonts w:hint="eastAsia" w:ascii="宋体" w:hAnsi="宋体"/>
                <w:b/>
                <w:color w:val="auto"/>
                <w:sz w:val="20"/>
                <w:szCs w:val="20"/>
              </w:rPr>
              <w:t>人；能够满足入职要求；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rFonts w:ascii="宋体" w:hAnsi="宋体"/>
                <w:b/>
                <w:color w:val="auto"/>
                <w:sz w:val="20"/>
                <w:szCs w:val="20"/>
              </w:rPr>
            </w:pPr>
            <w:r>
              <w:rPr>
                <w:rFonts w:hint="eastAsia" w:ascii="宋体" w:hAnsi="宋体"/>
                <w:b/>
                <w:color w:val="auto"/>
                <w:sz w:val="20"/>
                <w:szCs w:val="20"/>
                <w:lang w:val="en-US" w:eastAsia="zh-CN"/>
              </w:rPr>
              <w:t>电子数显卡尺（0~200）mm；数字万用表（VC890D）；电脑、打印机、复印机</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b/>
                <w:color w:val="auto"/>
                <w:sz w:val="20"/>
                <w:szCs w:val="20"/>
                <w:lang w:val="en-US" w:eastAsia="zh-CN"/>
              </w:rPr>
              <w:t>生产现场基本符合产品生产的要求。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b/>
                <w:color w:val="000000" w:themeColor="text1"/>
                <w:sz w:val="20"/>
                <w:szCs w:val="20"/>
                <w:lang w:val="en-US"/>
              </w:rPr>
            </w:pPr>
            <w:r>
              <w:rPr>
                <w:rFonts w:hint="eastAsia" w:ascii="宋体" w:hAnsi="宋体"/>
                <w:b/>
                <w:color w:val="auto"/>
                <w:sz w:val="20"/>
                <w:szCs w:val="20"/>
                <w:lang w:val="en-US" w:eastAsia="zh-CN"/>
              </w:rPr>
              <w:t>电子数显卡尺（0~200）mm；数字万用表（VC890D），已送检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auto"/>
                <w:sz w:val="20"/>
                <w:szCs w:val="20"/>
              </w:rPr>
            </w:pPr>
            <w:r>
              <w:rPr>
                <w:rFonts w:hint="eastAsia" w:ascii="宋体" w:hAnsi="宋体"/>
                <w:b/>
                <w:color w:val="auto"/>
                <w:sz w:val="20"/>
                <w:szCs w:val="20"/>
              </w:rPr>
              <w:t>包括：</w:t>
            </w:r>
            <w:r>
              <w:rPr>
                <w:rFonts w:hint="eastAsia" w:ascii="宋体" w:hAnsi="宋体"/>
                <w:b/>
                <w:color w:val="auto"/>
                <w:sz w:val="20"/>
                <w:szCs w:val="20"/>
                <w:lang w:val="en-US" w:eastAsia="zh-CN"/>
              </w:rPr>
              <w:t>产品质量</w:t>
            </w:r>
            <w:r>
              <w:rPr>
                <w:rFonts w:hint="eastAsia" w:ascii="宋体" w:hAnsi="宋体"/>
                <w:b/>
                <w:color w:val="auto"/>
                <w:sz w:val="20"/>
                <w:szCs w:val="20"/>
              </w:rPr>
              <w:t>、顾客满意、投诉处理等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b/>
                <w:color w:val="auto"/>
                <w:sz w:val="20"/>
                <w:szCs w:val="20"/>
              </w:rPr>
              <w:t>企业在</w:t>
            </w:r>
            <w:r>
              <w:rPr>
                <w:rFonts w:hint="eastAsia"/>
                <w:b/>
                <w:color w:val="auto"/>
                <w:sz w:val="20"/>
                <w:szCs w:val="20"/>
              </w:rPr>
              <w:t>20</w:t>
            </w:r>
            <w:r>
              <w:rPr>
                <w:rFonts w:hint="eastAsia"/>
                <w:b/>
                <w:color w:val="auto"/>
                <w:sz w:val="20"/>
                <w:szCs w:val="20"/>
                <w:lang w:val="en-US" w:eastAsia="zh-CN"/>
              </w:rPr>
              <w:t>20</w:t>
            </w:r>
            <w:r>
              <w:rPr>
                <w:rFonts w:hint="eastAsia"/>
                <w:b/>
                <w:color w:val="auto"/>
                <w:sz w:val="20"/>
                <w:szCs w:val="20"/>
              </w:rPr>
              <w:t>-</w:t>
            </w:r>
            <w:r>
              <w:rPr>
                <w:rFonts w:hint="eastAsia"/>
                <w:b/>
                <w:color w:val="auto"/>
                <w:sz w:val="20"/>
                <w:szCs w:val="20"/>
                <w:lang w:val="en-US" w:eastAsia="zh-CN"/>
              </w:rPr>
              <w:t>2</w:t>
            </w:r>
            <w:r>
              <w:rPr>
                <w:rFonts w:hint="eastAsia"/>
                <w:b/>
                <w:color w:val="auto"/>
                <w:sz w:val="20"/>
                <w:szCs w:val="20"/>
              </w:rPr>
              <w:t>-</w:t>
            </w:r>
            <w:r>
              <w:rPr>
                <w:rFonts w:hint="eastAsia"/>
                <w:b/>
                <w:color w:val="auto"/>
                <w:sz w:val="20"/>
                <w:szCs w:val="20"/>
                <w:lang w:val="en-US" w:eastAsia="zh-CN"/>
              </w:rPr>
              <w:t>10</w:t>
            </w:r>
            <w:r>
              <w:rPr>
                <w:b/>
                <w:color w:val="auto"/>
                <w:sz w:val="20"/>
                <w:szCs w:val="20"/>
              </w:rPr>
              <w:t>管理评审时评审管理方针与战略方向的一致性</w:t>
            </w: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b/>
                <w:color w:val="000000" w:themeColor="text1"/>
                <w:sz w:val="20"/>
                <w:szCs w:val="20"/>
              </w:rPr>
              <w:t>会议、培训、管理制度张贴</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较好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b/>
                <w:color w:val="auto"/>
                <w:sz w:val="20"/>
                <w:szCs w:val="20"/>
                <w:lang w:val="en-US" w:eastAsia="zh-CN"/>
              </w:rPr>
              <w:t>通过发放顾客满意度调查表、电话、微信等对顾客进行满意度调查，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color w:val="auto"/>
                <w:sz w:val="20"/>
                <w:szCs w:val="20"/>
                <w:lang w:val="en-US" w:eastAsia="zh-CN"/>
              </w:rPr>
            </w:pPr>
            <w:r>
              <w:rPr>
                <w:rFonts w:hint="eastAsia"/>
                <w:color w:val="auto"/>
                <w:sz w:val="20"/>
                <w:szCs w:val="20"/>
                <w:lang w:val="en-US" w:eastAsia="zh-CN"/>
              </w:rPr>
              <w:t>1.软件设计开发流程：需求分析→概要设计→详细设计→软件编码→软件测试→用户验收→运行维护</w:t>
            </w:r>
          </w:p>
          <w:p>
            <w:pPr>
              <w:spacing w:line="240" w:lineRule="exact"/>
              <w:rPr>
                <w:color w:val="auto"/>
                <w:sz w:val="20"/>
                <w:szCs w:val="20"/>
              </w:rPr>
            </w:pPr>
            <w:r>
              <w:rPr>
                <w:rFonts w:hint="eastAsia"/>
                <w:color w:val="auto"/>
                <w:sz w:val="20"/>
                <w:szCs w:val="20"/>
                <w:lang w:val="en-US" w:eastAsia="zh-CN"/>
              </w:rPr>
              <w:t>2.硬件研发、组装流程：产品研发→设计控制→转入生产→原材料采购/外协→入库检验→装配→调试→通电老化→检验→包装入库→交付及售后服务</w:t>
            </w:r>
          </w:p>
          <w:p>
            <w:pPr>
              <w:spacing w:line="240" w:lineRule="exact"/>
              <w:rPr>
                <w:b/>
                <w:color w:val="000000" w:themeColor="text1"/>
                <w:sz w:val="20"/>
                <w:szCs w:val="20"/>
              </w:rPr>
            </w:pPr>
            <w:r>
              <w:rPr>
                <w:rFonts w:hint="eastAsia"/>
                <w:color w:val="auto"/>
                <w:sz w:val="20"/>
                <w:szCs w:val="20"/>
              </w:rPr>
              <w:t>3.销售服务流程：顾客沟通→合同评审→签订合同→实施采购→供方送货→顾客签收→交付及售后服务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auto"/>
                <w:sz w:val="20"/>
                <w:szCs w:val="20"/>
                <w:highlight w:val="none"/>
              </w:rPr>
            </w:pPr>
            <w:r>
              <w:rPr>
                <w:rFonts w:hint="eastAsia"/>
                <w:b/>
                <w:color w:val="auto"/>
                <w:sz w:val="20"/>
                <w:szCs w:val="20"/>
                <w:highlight w:val="none"/>
                <w:lang w:val="en-US" w:eastAsia="zh-CN"/>
              </w:rPr>
              <w:t>产品</w:t>
            </w:r>
            <w:r>
              <w:rPr>
                <w:b/>
                <w:color w:val="auto"/>
                <w:sz w:val="20"/>
                <w:szCs w:val="20"/>
                <w:highlight w:val="none"/>
              </w:rPr>
              <w:t>的质量符合顾客的要求</w:t>
            </w:r>
            <w:r>
              <w:rPr>
                <w:rFonts w:hint="eastAsia"/>
                <w:b/>
                <w:color w:val="auto"/>
                <w:sz w:val="20"/>
                <w:szCs w:val="20"/>
                <w:highlight w:val="none"/>
              </w:rPr>
              <w:t>，</w:t>
            </w:r>
            <w:r>
              <w:rPr>
                <w:b/>
                <w:color w:val="auto"/>
                <w:sz w:val="20"/>
                <w:szCs w:val="20"/>
                <w:highlight w:val="none"/>
              </w:rPr>
              <w:t>不断</w:t>
            </w:r>
            <w:r>
              <w:rPr>
                <w:rFonts w:hint="eastAsia"/>
                <w:b/>
                <w:color w:val="auto"/>
                <w:sz w:val="20"/>
                <w:szCs w:val="20"/>
                <w:highlight w:val="none"/>
              </w:rPr>
              <w:t>改进</w:t>
            </w:r>
            <w:r>
              <w:rPr>
                <w:rFonts w:hint="eastAsia"/>
                <w:b/>
                <w:color w:val="auto"/>
                <w:sz w:val="20"/>
                <w:szCs w:val="20"/>
                <w:highlight w:val="none"/>
                <w:lang w:val="en-US" w:eastAsia="zh-CN"/>
              </w:rPr>
              <w:t>产品质量</w:t>
            </w:r>
            <w:r>
              <w:rPr>
                <w:rFonts w:hint="eastAsia"/>
                <w:b/>
                <w:color w:val="auto"/>
                <w:sz w:val="20"/>
                <w:szCs w:val="20"/>
                <w:highlight w:val="none"/>
              </w:rPr>
              <w:t>；</w:t>
            </w:r>
          </w:p>
          <w:p>
            <w:pPr>
              <w:spacing w:line="240" w:lineRule="exact"/>
              <w:rPr>
                <w:b/>
                <w:color w:val="000000" w:themeColor="text1"/>
                <w:sz w:val="20"/>
                <w:szCs w:val="20"/>
              </w:rPr>
            </w:pPr>
            <w:r>
              <w:rPr>
                <w:rFonts w:hint="eastAsia"/>
                <w:b/>
                <w:color w:val="auto"/>
                <w:sz w:val="20"/>
                <w:szCs w:val="20"/>
                <w:highlight w:val="none"/>
                <w:lang w:val="en-US" w:eastAsia="zh-CN"/>
              </w:rPr>
              <w:t>根据客户要求，不断改进。</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default" w:eastAsia="宋体"/>
                <w:b/>
                <w:color w:val="0000FF"/>
                <w:sz w:val="20"/>
                <w:szCs w:val="20"/>
                <w:lang w:val="en-US" w:eastAsia="zh-CN"/>
              </w:rPr>
            </w:pPr>
            <w:r>
              <w:rPr>
                <w:rFonts w:hint="eastAsia"/>
                <w:b/>
                <w:color w:val="auto"/>
                <w:sz w:val="20"/>
                <w:szCs w:val="20"/>
                <w:lang w:val="en-US" w:eastAsia="zh-CN"/>
              </w:rPr>
              <w:t>按客户提要求生产，不需要第三方检验。</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color w:val="auto"/>
                <w:sz w:val="20"/>
                <w:szCs w:val="20"/>
              </w:rPr>
            </w:pPr>
            <w:r>
              <w:rPr>
                <w:rFonts w:hint="eastAsia"/>
                <w:color w:val="auto"/>
                <w:sz w:val="20"/>
                <w:szCs w:val="20"/>
              </w:rPr>
              <w:t>有《不合格</w:t>
            </w:r>
            <w:r>
              <w:rPr>
                <w:rFonts w:hint="eastAsia"/>
                <w:color w:val="auto"/>
                <w:sz w:val="20"/>
                <w:szCs w:val="20"/>
                <w:lang w:val="en-US" w:eastAsia="zh-CN"/>
              </w:rPr>
              <w:t>输出</w:t>
            </w:r>
            <w:r>
              <w:rPr>
                <w:rFonts w:hint="eastAsia"/>
                <w:color w:val="auto"/>
                <w:sz w:val="20"/>
                <w:szCs w:val="20"/>
              </w:rPr>
              <w:t>控制程序》</w:t>
            </w:r>
          </w:p>
          <w:p>
            <w:pPr>
              <w:spacing w:line="240" w:lineRule="exact"/>
              <w:rPr>
                <w:color w:val="auto"/>
                <w:sz w:val="20"/>
                <w:szCs w:val="20"/>
              </w:rPr>
            </w:pPr>
            <w:r>
              <w:rPr>
                <w:color w:val="auto"/>
                <w:sz w:val="20"/>
                <w:szCs w:val="20"/>
              </w:rPr>
              <w:t>不合格的原材料不予接受</w:t>
            </w:r>
            <w:r>
              <w:rPr>
                <w:rFonts w:hint="eastAsia"/>
                <w:color w:val="auto"/>
                <w:sz w:val="20"/>
                <w:szCs w:val="20"/>
              </w:rPr>
              <w:t>；</w:t>
            </w:r>
          </w:p>
          <w:p>
            <w:pPr>
              <w:spacing w:line="240" w:lineRule="exact"/>
              <w:rPr>
                <w:color w:val="auto"/>
                <w:sz w:val="20"/>
                <w:szCs w:val="20"/>
              </w:rPr>
            </w:pPr>
            <w:r>
              <w:rPr>
                <w:color w:val="auto"/>
                <w:sz w:val="20"/>
                <w:szCs w:val="20"/>
              </w:rPr>
              <w:t>不合格的半成品不继续加工</w:t>
            </w:r>
            <w:r>
              <w:rPr>
                <w:rFonts w:hint="eastAsia"/>
                <w:color w:val="auto"/>
                <w:sz w:val="20"/>
                <w:szCs w:val="20"/>
              </w:rPr>
              <w:t>；</w:t>
            </w:r>
          </w:p>
          <w:p>
            <w:pPr>
              <w:spacing w:line="240" w:lineRule="exact"/>
              <w:rPr>
                <w:b/>
                <w:color w:val="000000" w:themeColor="text1"/>
                <w:sz w:val="20"/>
                <w:szCs w:val="20"/>
              </w:rPr>
            </w:pPr>
            <w:r>
              <w:rPr>
                <w:color w:val="auto"/>
                <w:sz w:val="20"/>
                <w:szCs w:val="20"/>
              </w:rPr>
              <w:t>不合格的</w:t>
            </w:r>
            <w:r>
              <w:rPr>
                <w:rFonts w:hint="eastAsia"/>
                <w:color w:val="auto"/>
                <w:sz w:val="20"/>
                <w:szCs w:val="20"/>
                <w:lang w:val="en-US" w:eastAsia="zh-CN"/>
              </w:rPr>
              <w:t>产品</w:t>
            </w:r>
            <w:r>
              <w:rPr>
                <w:color w:val="auto"/>
                <w:sz w:val="20"/>
                <w:szCs w:val="20"/>
              </w:rPr>
              <w:t>成品</w:t>
            </w:r>
            <w:r>
              <w:rPr>
                <w:rFonts w:hint="eastAsia"/>
                <w:color w:val="auto"/>
                <w:sz w:val="20"/>
                <w:szCs w:val="20"/>
              </w:rPr>
              <w:t>不</w:t>
            </w:r>
            <w:r>
              <w:rPr>
                <w:color w:val="auto"/>
                <w:sz w:val="20"/>
                <w:szCs w:val="20"/>
              </w:rPr>
              <w:t>销售给顾客</w:t>
            </w:r>
            <w:r>
              <w:rPr>
                <w:rFonts w:hint="eastAsia"/>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 xml:space="preserve">10. 对特种设备的维护，检定; </w:t>
            </w:r>
          </w:p>
          <w:p>
            <w:pPr>
              <w:spacing w:line="240" w:lineRule="exact"/>
              <w:rPr>
                <w:b/>
                <w:color w:val="auto"/>
                <w:sz w:val="20"/>
                <w:szCs w:val="20"/>
              </w:rPr>
            </w:pPr>
          </w:p>
          <w:p>
            <w:pPr>
              <w:spacing w:line="240" w:lineRule="exact"/>
              <w:rPr>
                <w:rFonts w:hint="eastAsia" w:eastAsia="宋体"/>
                <w:b/>
                <w:color w:val="000000" w:themeColor="text1"/>
                <w:sz w:val="20"/>
                <w:szCs w:val="20"/>
                <w:lang w:val="en-US" w:eastAsia="zh-CN"/>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auto"/>
                <w:sz w:val="20"/>
                <w:szCs w:val="20"/>
              </w:rPr>
            </w:pPr>
            <w:r>
              <w:rPr>
                <w:rFonts w:hint="eastAsia"/>
                <w:b/>
                <w:color w:val="auto"/>
                <w:sz w:val="20"/>
                <w:szCs w:val="20"/>
              </w:rPr>
              <w:t>11 .对危险化学品销售、使用、储存、运输处置，规定的执行力度(必要时);</w:t>
            </w:r>
          </w:p>
          <w:p>
            <w:pPr>
              <w:spacing w:line="240" w:lineRule="exact"/>
              <w:rPr>
                <w:rFonts w:hint="eastAsia" w:eastAsia="宋体"/>
                <w:b/>
                <w:color w:val="0000FF"/>
                <w:sz w:val="20"/>
                <w:szCs w:val="20"/>
                <w:lang w:val="en-US" w:eastAsia="zh-CN"/>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pStyle w:val="16"/>
              <w:spacing w:line="340" w:lineRule="exact"/>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提供《2019.11-2020.01月目标完成统计表》，目标均已完成。</w:t>
            </w:r>
          </w:p>
          <w:p>
            <w:pPr>
              <w:spacing w:line="240" w:lineRule="exact"/>
              <w:ind w:firstLine="100" w:firstLineChars="50"/>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auto"/>
                <w:sz w:val="20"/>
                <w:szCs w:val="20"/>
              </w:rPr>
            </w:pPr>
            <w:r>
              <w:rPr>
                <w:rFonts w:hint="eastAsia"/>
                <w:b/>
                <w:color w:val="auto"/>
                <w:sz w:val="20"/>
                <w:szCs w:val="20"/>
              </w:rPr>
              <w:t>顾客满意</w:t>
            </w:r>
          </w:p>
          <w:p>
            <w:pPr>
              <w:numPr>
                <w:ilvl w:val="0"/>
                <w:numId w:val="0"/>
              </w:numPr>
              <w:spacing w:line="240" w:lineRule="exact"/>
              <w:ind w:leftChars="-50" w:firstLine="239" w:firstLineChars="0"/>
              <w:rPr>
                <w:rFonts w:hint="default" w:eastAsia="宋体"/>
                <w:b/>
                <w:color w:val="auto"/>
                <w:sz w:val="20"/>
                <w:szCs w:val="20"/>
                <w:lang w:val="en-US" w:eastAsia="zh-CN"/>
              </w:rPr>
            </w:pPr>
            <w:r>
              <w:rPr>
                <w:rFonts w:hint="eastAsia"/>
                <w:color w:val="auto"/>
                <w:sz w:val="20"/>
                <w:szCs w:val="20"/>
              </w:rPr>
              <w:t>及时了解顾客的感受，并不断改进。</w:t>
            </w:r>
            <w:r>
              <w:rPr>
                <w:rFonts w:hint="eastAsia"/>
                <w:color w:val="auto"/>
                <w:sz w:val="20"/>
                <w:szCs w:val="20"/>
                <w:lang w:val="en-US" w:eastAsia="zh-CN"/>
              </w:rPr>
              <w:t>今年顾客满意度95%，目标达到要求。</w:t>
            </w:r>
            <w:r>
              <w:rPr>
                <w:rFonts w:hint="eastAsia"/>
                <w:color w:val="auto"/>
                <w:sz w:val="20"/>
                <w:szCs w:val="20"/>
              </w:rPr>
              <w:t>近一年没有发生顾客投诉。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jc w:val="left"/>
              <w:rPr>
                <w:rFonts w:hint="eastAsia" w:ascii="宋体" w:hAnsi="宋体"/>
                <w:color w:val="auto"/>
              </w:rPr>
            </w:pPr>
            <w:r>
              <w:rPr>
                <w:rFonts w:hint="eastAsia" w:ascii="宋体" w:hAnsi="宋体"/>
                <w:color w:val="auto"/>
              </w:rPr>
              <w:t>公司提供了DK-CX-09-2019《内部审核控制程序》</w:t>
            </w:r>
          </w:p>
          <w:p>
            <w:pPr>
              <w:jc w:val="left"/>
              <w:rPr>
                <w:rFonts w:hint="eastAsia" w:ascii="宋体" w:hAnsi="宋体"/>
                <w:color w:val="auto"/>
              </w:rPr>
            </w:pPr>
            <w:r>
              <w:rPr>
                <w:rFonts w:hint="eastAsia" w:ascii="宋体" w:hAnsi="宋体"/>
                <w:color w:val="auto"/>
              </w:rPr>
              <w:t>公司文件目前规定：内审每年</w:t>
            </w:r>
            <w:r>
              <w:rPr>
                <w:rFonts w:hint="eastAsia" w:ascii="宋体" w:hAnsi="宋体"/>
                <w:color w:val="auto"/>
                <w:lang w:val="en-US" w:eastAsia="zh-CN"/>
              </w:rPr>
              <w:t>不得少于</w:t>
            </w:r>
            <w:r>
              <w:rPr>
                <w:rFonts w:hint="eastAsia" w:ascii="宋体" w:hAnsi="宋体"/>
                <w:color w:val="auto"/>
              </w:rPr>
              <w:t>一次，时间间隔为12个月内，明确了内审目的，频次、方法、职责、策划要求和报告等。</w:t>
            </w:r>
          </w:p>
          <w:p>
            <w:pPr>
              <w:jc w:val="left"/>
              <w:rPr>
                <w:rFonts w:hint="default" w:ascii="宋体" w:hAnsi="宋体"/>
                <w:color w:val="auto"/>
                <w:lang w:val="en-US" w:eastAsia="zh-CN"/>
              </w:rPr>
            </w:pPr>
            <w:r>
              <w:rPr>
                <w:rFonts w:hint="eastAsia" w:ascii="宋体" w:hAnsi="宋体"/>
                <w:color w:val="auto"/>
              </w:rPr>
              <w:t>提供：20</w:t>
            </w:r>
            <w:r>
              <w:rPr>
                <w:rFonts w:hint="eastAsia" w:ascii="宋体" w:hAnsi="宋体"/>
                <w:color w:val="auto"/>
                <w:lang w:val="en-US" w:eastAsia="zh-CN"/>
              </w:rPr>
              <w:t>20</w:t>
            </w:r>
            <w:r>
              <w:rPr>
                <w:rFonts w:hint="eastAsia" w:ascii="宋体" w:hAnsi="宋体"/>
                <w:color w:val="auto"/>
              </w:rPr>
              <w:t>年度内审计划/批准人-</w:t>
            </w:r>
            <w:r>
              <w:rPr>
                <w:rFonts w:hint="eastAsia" w:ascii="宋体" w:hAnsi="宋体"/>
                <w:color w:val="auto"/>
                <w:lang w:val="en-US" w:eastAsia="zh-CN"/>
              </w:rPr>
              <w:t>胡进</w:t>
            </w:r>
          </w:p>
          <w:p>
            <w:pPr>
              <w:jc w:val="left"/>
              <w:rPr>
                <w:rFonts w:hint="eastAsia" w:ascii="宋体" w:hAnsi="宋体"/>
                <w:color w:val="auto"/>
              </w:rPr>
            </w:pPr>
            <w:r>
              <w:rPr>
                <w:rFonts w:hint="eastAsia" w:ascii="宋体" w:hAnsi="宋体"/>
                <w:color w:val="auto"/>
              </w:rPr>
              <w:t>计划2020年02月10日至2020年02月11日份对全公司进行一次集中式内部审核，组长：侯建    组员：李祥负责相关事宜。</w:t>
            </w:r>
          </w:p>
          <w:p>
            <w:pPr>
              <w:jc w:val="left"/>
              <w:rPr>
                <w:rFonts w:hint="eastAsia" w:ascii="宋体" w:hAnsi="宋体"/>
                <w:color w:val="auto"/>
              </w:rPr>
            </w:pPr>
            <w:r>
              <w:rPr>
                <w:rFonts w:hint="eastAsia" w:ascii="宋体" w:hAnsi="宋体"/>
                <w:color w:val="auto"/>
              </w:rPr>
              <w:t>提供：内部审核实施计划</w:t>
            </w:r>
          </w:p>
          <w:p>
            <w:pPr>
              <w:jc w:val="left"/>
              <w:rPr>
                <w:rFonts w:hint="eastAsia" w:ascii="宋体" w:hAnsi="宋体"/>
                <w:color w:val="auto"/>
              </w:rPr>
            </w:pPr>
            <w:r>
              <w:rPr>
                <w:rFonts w:hint="eastAsia" w:ascii="宋体" w:hAnsi="宋体"/>
                <w:color w:val="auto"/>
              </w:rPr>
              <w:t>明确以下信息内容：审核目的、审核范围、审核依据：</w:t>
            </w:r>
            <w:r>
              <w:rPr>
                <w:rFonts w:hint="eastAsia" w:ascii="宋体" w:hAnsi="宋体"/>
                <w:color w:val="auto"/>
                <w:lang w:val="en-US" w:eastAsia="zh-CN"/>
              </w:rPr>
              <w:t>GB/T19001-2016，公司</w:t>
            </w:r>
            <w:r>
              <w:rPr>
                <w:rFonts w:hint="eastAsia" w:ascii="宋体" w:hAnsi="宋体"/>
                <w:color w:val="auto"/>
              </w:rPr>
              <w:t>质量手册、程序文件</w:t>
            </w:r>
            <w:r>
              <w:rPr>
                <w:rFonts w:hint="eastAsia" w:ascii="宋体" w:hAnsi="宋体"/>
                <w:color w:val="auto"/>
                <w:lang w:val="en-US" w:eastAsia="zh-CN"/>
              </w:rPr>
              <w:t>和适用的法律、法规，顾客要求</w:t>
            </w:r>
            <w:r>
              <w:rPr>
                <w:rFonts w:hint="eastAsia" w:ascii="宋体" w:hAnsi="宋体"/>
                <w:color w:val="auto"/>
                <w:lang w:eastAsia="zh-CN"/>
              </w:rPr>
              <w:t>。</w:t>
            </w:r>
            <w:r>
              <w:rPr>
                <w:rFonts w:hint="eastAsia" w:ascii="宋体" w:hAnsi="宋体"/>
                <w:color w:val="auto"/>
              </w:rPr>
              <w:t>审核时间：2020年02月10日至2020年02月11日、内审小组、日程安排、备注。</w:t>
            </w:r>
          </w:p>
          <w:p>
            <w:pPr>
              <w:jc w:val="left"/>
              <w:rPr>
                <w:rFonts w:hint="eastAsia" w:ascii="宋体" w:hAnsi="宋体"/>
                <w:color w:val="auto"/>
              </w:rPr>
            </w:pPr>
            <w:r>
              <w:rPr>
                <w:rFonts w:hint="eastAsia" w:ascii="宋体" w:hAnsi="宋体"/>
                <w:color w:val="auto"/>
              </w:rPr>
              <w:t>提供：《内审检查表》/按部门编制</w:t>
            </w:r>
          </w:p>
          <w:p>
            <w:pPr>
              <w:jc w:val="left"/>
              <w:rPr>
                <w:rFonts w:hint="eastAsia" w:ascii="宋体" w:hAnsi="宋体"/>
                <w:color w:val="auto"/>
              </w:rPr>
            </w:pPr>
            <w:r>
              <w:rPr>
                <w:rFonts w:hint="eastAsia" w:ascii="宋体" w:hAnsi="宋体"/>
                <w:color w:val="auto"/>
              </w:rPr>
              <w:t>检查表描述内容如下：受审核部门、</w:t>
            </w:r>
            <w:r>
              <w:rPr>
                <w:rFonts w:hint="eastAsia" w:ascii="宋体" w:hAnsi="宋体"/>
                <w:color w:val="auto"/>
                <w:lang w:val="en-US" w:eastAsia="zh-CN"/>
              </w:rPr>
              <w:t>审核标准条款</w:t>
            </w:r>
            <w:r>
              <w:rPr>
                <w:rFonts w:hint="eastAsia" w:ascii="宋体" w:hAnsi="宋体"/>
                <w:color w:val="auto"/>
              </w:rPr>
              <w:t>、</w:t>
            </w:r>
            <w:r>
              <w:rPr>
                <w:rFonts w:hint="eastAsia" w:ascii="宋体" w:hAnsi="宋体"/>
                <w:color w:val="auto"/>
                <w:lang w:val="en-US" w:eastAsia="zh-CN"/>
              </w:rPr>
              <w:t>审核内容</w:t>
            </w:r>
            <w:r>
              <w:rPr>
                <w:rFonts w:hint="eastAsia" w:ascii="宋体" w:hAnsi="宋体"/>
                <w:color w:val="auto"/>
              </w:rPr>
              <w:t>、</w:t>
            </w:r>
            <w:r>
              <w:rPr>
                <w:rFonts w:hint="eastAsia" w:ascii="宋体" w:hAnsi="宋体"/>
                <w:color w:val="auto"/>
                <w:lang w:val="en-US" w:eastAsia="zh-CN"/>
              </w:rPr>
              <w:t>审核记录、</w:t>
            </w:r>
            <w:r>
              <w:rPr>
                <w:rFonts w:hint="eastAsia" w:ascii="宋体" w:hAnsi="宋体"/>
                <w:color w:val="auto"/>
              </w:rPr>
              <w:t>判断结果。</w:t>
            </w:r>
          </w:p>
          <w:p>
            <w:pPr>
              <w:jc w:val="left"/>
              <w:rPr>
                <w:rFonts w:hint="eastAsia" w:ascii="宋体" w:hAnsi="宋体"/>
                <w:color w:val="auto"/>
              </w:rPr>
            </w:pPr>
            <w:r>
              <w:rPr>
                <w:rFonts w:hint="eastAsia" w:ascii="宋体" w:hAnsi="宋体"/>
                <w:color w:val="auto"/>
              </w:rPr>
              <w:t>确认：检查表确认其内容基本覆盖了被审核部门参与体系运行的条款。</w:t>
            </w:r>
          </w:p>
          <w:p>
            <w:pPr>
              <w:jc w:val="left"/>
              <w:rPr>
                <w:rFonts w:hint="eastAsia" w:ascii="宋体" w:hAnsi="宋体"/>
                <w:color w:val="auto"/>
              </w:rPr>
            </w:pPr>
            <w:r>
              <w:rPr>
                <w:rFonts w:hint="eastAsia" w:ascii="宋体" w:hAnsi="宋体"/>
                <w:color w:val="auto"/>
                <w:lang w:val="en-US" w:eastAsia="zh-CN"/>
              </w:rPr>
              <w:t>本次审核中，共发现了1个不符合项，这些不符合项些不符合项</w:t>
            </w:r>
            <w:r>
              <w:rPr>
                <w:rFonts w:hint="eastAsia" w:ascii="宋体" w:hAnsi="宋体"/>
                <w:color w:val="auto"/>
              </w:rPr>
              <w:t>在认证前得到了纠正。</w:t>
            </w:r>
          </w:p>
          <w:p>
            <w:pPr>
              <w:jc w:val="left"/>
              <w:rPr>
                <w:rFonts w:hint="eastAsia" w:ascii="宋体" w:hAnsi="宋体"/>
                <w:sz w:val="24"/>
              </w:rPr>
            </w:pPr>
            <w:r>
              <w:rPr>
                <w:rFonts w:hint="eastAsia" w:ascii="宋体" w:hAnsi="宋体"/>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left"/>
              <w:rPr>
                <w:color w:val="auto"/>
              </w:rPr>
            </w:pPr>
            <w:r>
              <w:rPr>
                <w:rFonts w:hint="eastAsia"/>
                <w:color w:val="auto"/>
              </w:rPr>
              <w:t>对组织的质量管理体系进行了评审，以确保其持续的适宜性、充分性和有效性。具体情况：</w:t>
            </w:r>
            <w:r>
              <w:rPr>
                <w:rFonts w:hint="eastAsia" w:ascii="宋体" w:hAnsi="宋体"/>
                <w:sz w:val="24"/>
                <w:lang w:val="en-US" w:eastAsia="zh-CN"/>
              </w:rPr>
              <w:t>2020-2-20</w:t>
            </w:r>
            <w:r>
              <w:rPr>
                <w:rFonts w:hint="eastAsia" w:ascii="宋体" w:hAnsi="宋体"/>
                <w:color w:val="auto"/>
              </w:rPr>
              <w:t>由总经理</w:t>
            </w:r>
            <w:r>
              <w:rPr>
                <w:rFonts w:hint="eastAsia"/>
                <w:color w:val="auto"/>
                <w:lang w:val="en-US" w:eastAsia="zh-CN"/>
              </w:rPr>
              <w:t>胡进</w:t>
            </w:r>
            <w:r>
              <w:rPr>
                <w:rFonts w:hint="eastAsia" w:ascii="宋体" w:hAnsi="宋体"/>
                <w:color w:val="auto"/>
              </w:rPr>
              <w:t>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pPr>
              <w:rPr>
                <w:color w:val="auto"/>
              </w:rPr>
            </w:pPr>
            <w:r>
              <w:rPr>
                <w:rFonts w:hint="eastAsia"/>
                <w:color w:val="auto"/>
              </w:rPr>
              <w:t>针对内审发现的问题或投诉的问题，及时制定并实施了有效的持续改进。</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b/>
                <w:color w:val="000000" w:themeColor="text1"/>
                <w:sz w:val="20"/>
                <w:szCs w:val="20"/>
              </w:rPr>
              <w:t>针对内审的不符合项采取了纠正措施</w:t>
            </w:r>
            <w:r>
              <w:rPr>
                <w:rFonts w:hint="eastAsia"/>
                <w:b/>
                <w:color w:val="000000" w:themeColor="text1"/>
                <w:sz w:val="20"/>
                <w:szCs w:val="20"/>
              </w:rPr>
              <w:t>。没有再次发生。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auto"/>
                <w:spacing w:val="-20"/>
                <w:sz w:val="20"/>
                <w:szCs w:val="20"/>
              </w:rPr>
              <w:t>提出的</w:t>
            </w:r>
            <w:r>
              <w:rPr>
                <w:rFonts w:hint="eastAsia"/>
                <w:b/>
                <w:color w:val="auto"/>
                <w:spacing w:val="-20"/>
                <w:sz w:val="20"/>
                <w:szCs w:val="20"/>
                <w:lang w:val="en-US" w:eastAsia="zh-CN"/>
              </w:rPr>
              <w:t>3</w:t>
            </w:r>
            <w:r>
              <w:rPr>
                <w:rFonts w:hint="eastAsia"/>
                <w:b/>
                <w:color w:val="auto"/>
                <w:spacing w:val="-20"/>
                <w:sz w:val="20"/>
                <w:szCs w:val="20"/>
              </w:rPr>
              <w:t>项问题，</w:t>
            </w:r>
            <w:r>
              <w:rPr>
                <w:rFonts w:hint="eastAsia"/>
                <w:b/>
                <w:color w:val="auto"/>
                <w:spacing w:val="-20"/>
                <w:sz w:val="20"/>
                <w:szCs w:val="20"/>
                <w:lang w:val="en-US" w:eastAsia="zh-CN"/>
              </w:rPr>
              <w:t>2</w:t>
            </w:r>
            <w:r>
              <w:rPr>
                <w:rFonts w:hint="eastAsia"/>
                <w:b/>
                <w:color w:val="auto"/>
                <w:spacing w:val="-20"/>
                <w:sz w:val="20"/>
                <w:szCs w:val="20"/>
              </w:rPr>
              <w:t>项已整改</w:t>
            </w:r>
            <w:r>
              <w:rPr>
                <w:rFonts w:hint="eastAsia"/>
                <w:b/>
                <w:color w:val="auto"/>
                <w:spacing w:val="-20"/>
                <w:sz w:val="20"/>
                <w:szCs w:val="20"/>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5" w:leftChars="0" w:hanging="105" w:hangingChars="5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Chars="-50"/>
              <w:rPr>
                <w:rFonts w:hint="eastAsia" w:eastAsia="宋体"/>
                <w:b/>
                <w:color w:val="000000" w:themeColor="text1"/>
                <w:szCs w:val="21"/>
                <w:lang w:val="en-US" w:eastAsia="zh-CN"/>
              </w:rPr>
            </w:pPr>
            <w:r>
              <w:rPr>
                <w:rFonts w:hint="eastAsia"/>
                <w:b/>
                <w:color w:val="000000" w:themeColor="text1"/>
                <w:szCs w:val="21"/>
                <w:lang w:val="en-US" w:eastAsia="zh-CN"/>
              </w:rPr>
              <w:t>不涉及</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bookmarkStart w:id="23" w:name="_GoBack"/>
      <w:bookmarkEnd w:id="23"/>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1839595</wp:posOffset>
            </wp:positionH>
            <wp:positionV relativeFrom="paragraph">
              <wp:posOffset>337185</wp:posOffset>
            </wp:positionV>
            <wp:extent cx="514350" cy="276225"/>
            <wp:effectExtent l="0" t="0" r="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rcRect t="12820" b="12820"/>
                    <a:stretch>
                      <a:fillRect/>
                    </a:stretch>
                  </pic:blipFill>
                  <pic:spPr>
                    <a:xfrm>
                      <a:off x="0" y="0"/>
                      <a:ext cx="514350" cy="2762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724800" behindDoc="0" locked="0" layoutInCell="1" allowOverlap="1">
            <wp:simplePos x="0" y="0"/>
            <wp:positionH relativeFrom="column">
              <wp:posOffset>4163060</wp:posOffset>
            </wp:positionH>
            <wp:positionV relativeFrom="paragraph">
              <wp:posOffset>61595</wp:posOffset>
            </wp:positionV>
            <wp:extent cx="1057910" cy="367665"/>
            <wp:effectExtent l="0" t="0" r="8890" b="1333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rcRect l="12592" t="33528" b="10204"/>
                    <a:stretch>
                      <a:fillRect/>
                    </a:stretch>
                  </pic:blipFill>
                  <pic:spPr>
                    <a:xfrm>
                      <a:off x="0" y="0"/>
                      <a:ext cx="1057910" cy="367665"/>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column">
              <wp:posOffset>2945765</wp:posOffset>
            </wp:positionH>
            <wp:positionV relativeFrom="paragraph">
              <wp:posOffset>128270</wp:posOffset>
            </wp:positionV>
            <wp:extent cx="756285" cy="323850"/>
            <wp:effectExtent l="0" t="0" r="5715" b="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rcRect t="19048"/>
                    <a:stretch>
                      <a:fillRect/>
                    </a:stretch>
                  </pic:blipFill>
                  <pic:spPr>
                    <a:xfrm>
                      <a:off x="0" y="0"/>
                      <a:ext cx="756285" cy="32385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9504" behindDoc="1" locked="0" layoutInCell="1" allowOverlap="1">
            <wp:simplePos x="0" y="0"/>
            <wp:positionH relativeFrom="column">
              <wp:posOffset>1710690</wp:posOffset>
            </wp:positionH>
            <wp:positionV relativeFrom="paragraph">
              <wp:posOffset>146685</wp:posOffset>
            </wp:positionV>
            <wp:extent cx="915035" cy="316865"/>
            <wp:effectExtent l="0" t="0" r="18415" b="6985"/>
            <wp:wrapTight wrapText="bothSides">
              <wp:wrapPolygon>
                <wp:start x="0" y="0"/>
                <wp:lineTo x="0" y="20085"/>
                <wp:lineTo x="21135" y="20085"/>
                <wp:lineTo x="21135" y="0"/>
                <wp:lineTo x="0" y="0"/>
              </wp:wrapPolygon>
            </wp:wrapTight>
            <wp:docPr id="4"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3502(1)"/>
                    <pic:cNvPicPr>
                      <a:picLocks noChangeAspect="1"/>
                    </pic:cNvPicPr>
                  </pic:nvPicPr>
                  <pic:blipFill>
                    <a:blip r:embed="rId9"/>
                    <a:stretch>
                      <a:fillRect/>
                    </a:stretch>
                  </pic:blipFill>
                  <pic:spPr>
                    <a:xfrm>
                      <a:off x="0" y="0"/>
                      <a:ext cx="915035" cy="31686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auto"/>
          <w:szCs w:val="21"/>
        </w:rPr>
        <w:t xml:space="preserve">，( </w:t>
      </w:r>
      <w:r>
        <w:rPr>
          <w:rFonts w:hint="eastAsia"/>
          <w:b/>
          <w:color w:val="auto"/>
          <w:szCs w:val="21"/>
          <w:lang w:val="en-US" w:eastAsia="zh-CN"/>
        </w:rPr>
        <w:t>0</w:t>
      </w:r>
      <w:r>
        <w:rPr>
          <w:rFonts w:hint="eastAsia"/>
          <w:b/>
          <w:color w:val="auto"/>
          <w:szCs w:val="21"/>
        </w:rPr>
        <w:t xml:space="preserve"> )个严重不符合，</w:t>
      </w:r>
      <w:r>
        <w:rPr>
          <w:rFonts w:hint="eastAsia"/>
          <w:b/>
          <w:color w:val="auto"/>
          <w:spacing w:val="-10"/>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spacing w:before="312" w:beforeLines="100" w:after="156" w:afterLines="50"/>
        <w:rPr>
          <w:rFonts w:hint="eastAsia"/>
          <w:b/>
          <w:color w:val="000000" w:themeColor="text1"/>
          <w:szCs w:val="21"/>
        </w:rPr>
      </w:pPr>
      <w:r>
        <w:rPr>
          <w:rFonts w:hint="default" w:eastAsia="宋体"/>
          <w:sz w:val="21"/>
          <w:szCs w:val="21"/>
          <w:lang w:val="en-US" w:eastAsia="zh-CN"/>
        </w:rPr>
        <w:drawing>
          <wp:anchor distT="0" distB="0" distL="114300" distR="114300" simplePos="0" relativeHeight="251728896" behindDoc="0" locked="0" layoutInCell="1" allowOverlap="1">
            <wp:simplePos x="0" y="0"/>
            <wp:positionH relativeFrom="column">
              <wp:posOffset>639445</wp:posOffset>
            </wp:positionH>
            <wp:positionV relativeFrom="paragraph">
              <wp:posOffset>41910</wp:posOffset>
            </wp:positionV>
            <wp:extent cx="514350" cy="276225"/>
            <wp:effectExtent l="0" t="0" r="0" b="9525"/>
            <wp:wrapSquare wrapText="bothSides"/>
            <wp:docPr id="7"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585441541"/>
                    <pic:cNvPicPr>
                      <a:picLocks noChangeAspect="1"/>
                    </pic:cNvPicPr>
                  </pic:nvPicPr>
                  <pic:blipFill>
                    <a:blip r:embed="rId6"/>
                    <a:srcRect t="12820" b="12820"/>
                    <a:stretch>
                      <a:fillRect/>
                    </a:stretch>
                  </pic:blipFill>
                  <pic:spPr>
                    <a:xfrm>
                      <a:off x="0" y="0"/>
                      <a:ext cx="514350" cy="276225"/>
                    </a:xfrm>
                    <a:prstGeom prst="rect">
                      <a:avLst/>
                    </a:prstGeom>
                    <a:noFill/>
                    <a:ln>
                      <a:noFill/>
                    </a:ln>
                  </pic:spPr>
                </pic:pic>
              </a:graphicData>
            </a:graphic>
          </wp:anchor>
        </w:drawing>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D77386"/>
    <w:multiLevelType w:val="singleLevel"/>
    <w:tmpl w:val="DED77386"/>
    <w:lvl w:ilvl="0" w:tentative="0">
      <w:start w:val="2"/>
      <w:numFmt w:val="decimal"/>
      <w:suff w:val="nothing"/>
      <w:lvlText w:val="%1、"/>
      <w:lvlJc w:val="left"/>
    </w:lvl>
  </w:abstractNum>
  <w:abstractNum w:abstractNumId="1">
    <w:nsid w:val="FBCDCA21"/>
    <w:multiLevelType w:val="singleLevel"/>
    <w:tmpl w:val="FBCDCA21"/>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8224D"/>
    <w:rsid w:val="0CCE1DD2"/>
    <w:rsid w:val="0F8B56FC"/>
    <w:rsid w:val="1D23012D"/>
    <w:rsid w:val="1FE149FF"/>
    <w:rsid w:val="25C37632"/>
    <w:rsid w:val="3D4A1841"/>
    <w:rsid w:val="438D4315"/>
    <w:rsid w:val="62263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No Spacing"/>
    <w:qFormat/>
    <w:uiPriority w:val="0"/>
    <w:pPr>
      <w:widowControl w:val="0"/>
      <w:adjustRightInd w:val="0"/>
      <w:jc w:val="both"/>
      <w:textAlignment w:val="baseline"/>
    </w:pPr>
    <w:rPr>
      <w:rFonts w:ascii="Times New Roman" w:hAnsi="Times New Roman" w:eastAsia="宋体" w:cs="Times New Roman"/>
      <w:kern w:val="2"/>
      <w:sz w:val="21"/>
      <w:szCs w:val="24"/>
      <w:lang w:val="en-US" w:eastAsia="zh-CN" w:bidi="ar-SA"/>
    </w:rPr>
  </w:style>
  <w:style w:type="paragraph" w:customStyle="1" w:styleId="17">
    <w:name w:val="Body 9pt"/>
    <w:basedOn w:val="1"/>
    <w:qFormat/>
    <w:uiPriority w:val="0"/>
    <w:pPr>
      <w:widowControl/>
      <w:spacing w:before="40" w:after="40"/>
    </w:pPr>
    <w:rPr>
      <w:rFonts w:ascii="Arial" w:hAnsi="Arial" w:cs="Arial"/>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2020-03-31T08:01:57Z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