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福建省闽尚国意家具有限公司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29.08.07,29.10.05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24001-2016idtISO 14001:2015</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福建省闽尚国意家具有限公司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福建省泉州市丰泽区北峰街道潘山田厝山工业区第一栋三楼</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362008</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福建省泉州市丰泽区北峰街道潘山田厝山工业区第一栋三楼</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362008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连建忠</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13850700892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段先高</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连建忠</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教学家具、办公家具、酒店家具的销售及其所涉及场所的相关环境管理活动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29.08.07;29.10.05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2019-05-10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行政部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体系运行、文件化信息、人力资源、内审、管理评审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业务部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供应、销售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p>
        </w:tc>
        <w:tc>
          <w:tcPr>
            <w:tcW w:w="6804" w:type="dxa"/>
          </w:tcPr>
          <w:p>
            <w:pPr>
              <w:jc w:val="both"/>
              <w:rPr>
                <w:rFonts w:hint="default" w:ascii="宋体" w:hAnsi="宋体" w:eastAsia="宋体"/>
                <w:b/>
                <w:color w:val="000000" w:themeColor="text1"/>
                <w:spacing w:val="-20"/>
                <w:sz w:val="20"/>
                <w:szCs w:val="20"/>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both"/>
              <w:rPr>
                <w:rFonts w:hint="default" w:ascii="宋体" w:hAnsi="宋体" w:eastAsia="宋体"/>
                <w:b/>
                <w:color w:val="000000" w:themeColor="text1"/>
                <w:sz w:val="20"/>
                <w:szCs w:val="20"/>
                <w:lang w:val="en-US" w:eastAsia="zh-CN"/>
              </w:rPr>
            </w:pPr>
          </w:p>
        </w:tc>
        <w:tc>
          <w:tcPr>
            <w:tcW w:w="6804" w:type="dxa"/>
          </w:tcPr>
          <w:p>
            <w:pPr>
              <w:jc w:val="center"/>
              <w:rPr>
                <w:rFonts w:hint="default" w:ascii="宋体" w:hAnsi="宋体" w:eastAsia="宋体"/>
                <w:b/>
                <w:color w:val="000000" w:themeColor="text1"/>
                <w:spacing w:val="-20"/>
                <w:sz w:val="20"/>
                <w:szCs w:val="20"/>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教学家具、办公家具、酒店家具的销售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eastAsia="zh-CN"/>
              </w:rPr>
            </w:pPr>
            <w:r>
              <w:rPr>
                <w:rFonts w:hint="eastAsia" w:ascii="宋体" w:hAnsi="宋体" w:eastAsia="宋体" w:cs="宋体"/>
                <w:sz w:val="21"/>
                <w:szCs w:val="21"/>
                <w:lang w:val="en-US" w:eastAsia="zh-CN"/>
              </w:rPr>
              <w:t>GB/T10357.3-2013</w:t>
            </w:r>
            <w:r>
              <w:rPr>
                <w:rFonts w:hint="eastAsia"/>
              </w:rPr>
              <w:t>家具力学性能试验 第3部分:椅凳类强度和耐久性</w:t>
            </w:r>
            <w:r>
              <w:rPr>
                <w:rFonts w:hint="eastAsia"/>
                <w:lang w:eastAsia="zh-CN"/>
              </w:rPr>
              <w:t>、</w:t>
            </w:r>
            <w:r>
              <w:rPr>
                <w:rFonts w:hint="eastAsia" w:ascii="宋体" w:hAnsi="宋体" w:eastAsia="宋体" w:cs="宋体"/>
                <w:sz w:val="21"/>
                <w:szCs w:val="21"/>
                <w:lang w:val="en-US" w:eastAsia="zh-CN"/>
              </w:rPr>
              <w:t>GB28007-2011儿童家具通用技术条件</w:t>
            </w:r>
            <w:r>
              <w:rPr>
                <w:rFonts w:hint="eastAsia" w:ascii="宋体" w:hAnsi="宋体" w:cs="宋体"/>
                <w:sz w:val="21"/>
                <w:szCs w:val="21"/>
                <w:lang w:val="en-US" w:eastAsia="zh-CN"/>
              </w:rPr>
              <w:t>、</w:t>
            </w:r>
            <w:r>
              <w:rPr>
                <w:rFonts w:hint="eastAsia" w:ascii="宋体" w:hAnsi="宋体" w:eastAsia="宋体" w:cs="宋体"/>
                <w:sz w:val="24"/>
                <w:lang w:val="en-US" w:eastAsia="zh-CN"/>
              </w:rPr>
              <w:t>GB/t3325-2017</w:t>
            </w:r>
            <w:r>
              <w:rPr>
                <w:rFonts w:hint="eastAsia"/>
                <w:sz w:val="24"/>
                <w:lang w:val="en-US" w:eastAsia="zh-CN"/>
              </w:rPr>
              <w:t>金属家具通用技术条件、</w:t>
            </w:r>
            <w:r>
              <w:rPr>
                <w:rFonts w:hint="eastAsia" w:ascii="宋体" w:hAnsi="宋体" w:eastAsia="宋体" w:cs="宋体"/>
                <w:sz w:val="24"/>
                <w:lang w:val="en-US" w:eastAsia="zh-CN"/>
              </w:rPr>
              <w:t>GB/t3324-2017</w:t>
            </w:r>
            <w:r>
              <w:rPr>
                <w:rFonts w:hint="eastAsia"/>
                <w:sz w:val="24"/>
                <w:lang w:val="en-US" w:eastAsia="zh-CN"/>
              </w:rPr>
              <w:t>木制家具通用技术条件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widowControl/>
              <w:jc w:val="left"/>
              <w:rPr>
                <w:szCs w:val="21"/>
              </w:rPr>
            </w:pPr>
            <w:r>
              <w:rPr>
                <w:rFonts w:hint="eastAsia" w:ascii="宋体" w:hAnsi="宋体"/>
                <w:color w:val="000000"/>
                <w:sz w:val="20"/>
                <w:szCs w:val="20"/>
              </w:rPr>
              <w:t>公司</w:t>
            </w:r>
            <w:r>
              <w:rPr>
                <w:rFonts w:hint="eastAsia"/>
                <w:szCs w:val="21"/>
              </w:rPr>
              <w:t>成立于</w:t>
            </w:r>
            <w:r>
              <w:rPr>
                <w:szCs w:val="21"/>
              </w:rPr>
              <w:t>20</w:t>
            </w:r>
            <w:r>
              <w:rPr>
                <w:rFonts w:hint="eastAsia"/>
                <w:szCs w:val="21"/>
                <w:lang w:val="en-US" w:eastAsia="zh-CN"/>
              </w:rPr>
              <w:t>12</w:t>
            </w:r>
            <w:r>
              <w:rPr>
                <w:rFonts w:hint="eastAsia"/>
                <w:szCs w:val="21"/>
              </w:rPr>
              <w:t>年</w:t>
            </w:r>
            <w:r>
              <w:rPr>
                <w:rFonts w:hint="eastAsia"/>
                <w:szCs w:val="21"/>
                <w:lang w:val="en-US" w:eastAsia="zh-CN"/>
              </w:rPr>
              <w:t>8月17日</w:t>
            </w:r>
            <w:r>
              <w:rPr>
                <w:rFonts w:hint="eastAsia"/>
                <w:szCs w:val="21"/>
              </w:rPr>
              <w:t>，座落在</w:t>
            </w:r>
            <w:bookmarkStart w:id="21" w:name="生产地址"/>
            <w:r>
              <w:rPr>
                <w:rFonts w:asciiTheme="minorEastAsia" w:hAnsiTheme="minorEastAsia" w:eastAsiaTheme="minorEastAsia"/>
                <w:sz w:val="21"/>
                <w:szCs w:val="21"/>
              </w:rPr>
              <w:t>福建省泉州市丰泽区北峰街道潘山田厝山工业区第一栋三楼</w:t>
            </w:r>
            <w:bookmarkEnd w:id="21"/>
            <w:r>
              <w:rPr>
                <w:rFonts w:hint="eastAsia"/>
                <w:szCs w:val="21"/>
              </w:rPr>
              <w:t>，是一家专业从事</w:t>
            </w:r>
            <w:r>
              <w:rPr>
                <w:sz w:val="21"/>
                <w:szCs w:val="21"/>
              </w:rPr>
              <w:t>教学家具、办公家具、酒店家具的销售</w:t>
            </w:r>
            <w:r>
              <w:rPr>
                <w:rFonts w:hint="eastAsia"/>
                <w:sz w:val="21"/>
                <w:szCs w:val="21"/>
              </w:rPr>
              <w:t>的</w:t>
            </w:r>
            <w:r>
              <w:rPr>
                <w:rFonts w:hint="eastAsia"/>
                <w:szCs w:val="21"/>
              </w:rPr>
              <w:t>民营企业，企业类型为有限责任公司，</w:t>
            </w:r>
            <w:r>
              <w:rPr>
                <w:rFonts w:hint="eastAsia"/>
                <w:sz w:val="21"/>
                <w:szCs w:val="21"/>
              </w:rPr>
              <w:t>法定代表人</w:t>
            </w:r>
            <w:r>
              <w:rPr>
                <w:rFonts w:hint="eastAsia"/>
                <w:sz w:val="21"/>
                <w:szCs w:val="21"/>
                <w:lang w:val="en-US" w:eastAsia="zh-CN"/>
              </w:rPr>
              <w:t>段先高</w:t>
            </w:r>
            <w:r>
              <w:rPr>
                <w:rFonts w:hint="eastAsia"/>
                <w:sz w:val="21"/>
                <w:szCs w:val="21"/>
              </w:rPr>
              <w:t>。</w:t>
            </w:r>
          </w:p>
          <w:p>
            <w:pPr>
              <w:ind w:firstLine="420" w:firstLineChars="200"/>
              <w:rPr>
                <w:szCs w:val="21"/>
              </w:rPr>
            </w:pPr>
            <w:r>
              <w:rPr>
                <w:rFonts w:hint="eastAsia"/>
                <w:szCs w:val="21"/>
              </w:rPr>
              <w:t>公司现有员工</w:t>
            </w:r>
            <w:r>
              <w:rPr>
                <w:rFonts w:hint="eastAsia"/>
                <w:szCs w:val="21"/>
                <w:lang w:val="en-US" w:eastAsia="zh-CN"/>
              </w:rPr>
              <w:t>8</w:t>
            </w:r>
            <w:r>
              <w:rPr>
                <w:rFonts w:hint="eastAsia"/>
                <w:szCs w:val="21"/>
              </w:rPr>
              <w:t>人，下设</w:t>
            </w:r>
            <w:r>
              <w:rPr>
                <w:rFonts w:hint="eastAsia"/>
                <w:szCs w:val="21"/>
                <w:lang w:val="en-US" w:eastAsia="zh-CN"/>
              </w:rPr>
              <w:t>行政部</w:t>
            </w:r>
            <w:r>
              <w:rPr>
                <w:rFonts w:hint="eastAsia"/>
                <w:szCs w:val="21"/>
              </w:rPr>
              <w:t>、</w:t>
            </w:r>
            <w:r>
              <w:rPr>
                <w:rFonts w:hint="eastAsia"/>
                <w:szCs w:val="21"/>
                <w:lang w:val="en-US" w:eastAsia="zh-CN"/>
              </w:rPr>
              <w:t>业务</w:t>
            </w:r>
            <w:r>
              <w:rPr>
                <w:rFonts w:hint="eastAsia"/>
                <w:szCs w:val="21"/>
              </w:rPr>
              <w:t>部，拥有完整的营销、售后网络。</w:t>
            </w:r>
          </w:p>
          <w:p>
            <w:pPr>
              <w:spacing w:line="280" w:lineRule="exact"/>
              <w:ind w:firstLine="420" w:firstLineChars="200"/>
              <w:rPr>
                <w:rFonts w:ascii="宋体" w:cs="宋体"/>
                <w:szCs w:val="21"/>
              </w:rPr>
            </w:pPr>
            <w:r>
              <w:rPr>
                <w:rFonts w:hint="eastAsia" w:ascii="宋体" w:hAnsi="宋体" w:cs="宋体"/>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b/>
                <w:color w:val="000000"/>
                <w:sz w:val="20"/>
                <w:szCs w:val="20"/>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t>2</w:t>
            </w:r>
            <w:r>
              <w:rPr>
                <w:rFonts w:hint="eastAsia"/>
              </w:rPr>
              <w:t>、相关方需求和期望识别情况</w:t>
            </w:r>
          </w:p>
          <w:p>
            <w:pPr>
              <w:tabs>
                <w:tab w:val="left" w:pos="180"/>
                <w:tab w:val="left" w:pos="360"/>
                <w:tab w:val="left" w:pos="1080"/>
                <w:tab w:val="center" w:pos="4620"/>
              </w:tabs>
              <w:spacing w:line="276" w:lineRule="auto"/>
              <w:ind w:firstLine="420" w:firstLineChars="200"/>
              <w:rPr>
                <w:rFonts w:ascii="宋体"/>
                <w:szCs w:val="21"/>
              </w:rPr>
            </w:pPr>
            <w:r>
              <w:rPr>
                <w:rFonts w:hint="eastAsia" w:cs="宋体"/>
              </w:rPr>
              <w:t>在公司运营过程中充分考虑相关方方面的期望或要求，</w:t>
            </w:r>
            <w:r>
              <w:rPr>
                <w:rFonts w:hint="eastAsia" w:ascii="宋体" w:hAnsi="宋体"/>
                <w:szCs w:val="21"/>
              </w:rPr>
              <w:t>已识别公司的相关方涉及到顾客、最终用户、业主、股东、银行、外部供应商、员工、法律法规监管机构等。</w:t>
            </w:r>
          </w:p>
          <w:p>
            <w:pPr>
              <w:spacing w:line="276" w:lineRule="auto"/>
              <w:ind w:firstLine="315" w:firstLineChars="150"/>
              <w:jc w:val="left"/>
              <w:rPr>
                <w:rFonts w:ascii="宋体"/>
                <w:szCs w:val="21"/>
              </w:rPr>
            </w:pPr>
            <w:r>
              <w:rPr>
                <w:rFonts w:hint="eastAsia" w:ascii="宋体" w:hAnsi="宋体" w:cs="宋体"/>
                <w:szCs w:val="21"/>
              </w:rPr>
              <w:t>采购、销售和相关职能部门通过日常例会、市场活动、现场拜访、产品展销会、客户调查等多种渠道和方式方法随时了解相关方的需求和期望。做为公司经营风险分析和发展机遇的可利用资源。</w:t>
            </w:r>
          </w:p>
          <w:p>
            <w:pPr>
              <w:ind w:firstLine="420" w:firstLineChars="200"/>
              <w:rPr>
                <w:rFonts w:ascii="宋体" w:cs="宋体"/>
                <w:szCs w:val="21"/>
              </w:rPr>
            </w:pPr>
            <w:r>
              <w:rPr>
                <w:rFonts w:hint="eastAsia" w:ascii="宋体" w:hAnsi="宋体" w:cs="宋体"/>
                <w:szCs w:val="21"/>
              </w:rPr>
              <w:t>与公司高管交流，内外部相关方需求分析到位。口头交流。</w:t>
            </w:r>
          </w:p>
          <w:p>
            <w:pPr>
              <w:spacing w:line="240" w:lineRule="exact"/>
              <w:rPr>
                <w:b/>
                <w:color w:val="000000"/>
                <w:sz w:val="20"/>
                <w:szCs w:val="20"/>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b/>
                <w:color w:val="000000" w:themeColor="text1"/>
                <w:spacing w:val="-10"/>
                <w:szCs w:val="21"/>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宋体"/>
                <w:b/>
                <w:color w:val="000000"/>
                <w:spacing w:val="-1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b/>
                <w:color w:val="000000" w:themeColor="text1"/>
                <w:spacing w:val="-10"/>
                <w:szCs w:val="21"/>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360" w:lineRule="auto"/>
              <w:rPr>
                <w:rFonts w:ascii="宋体"/>
                <w:szCs w:val="24"/>
              </w:rPr>
            </w:pPr>
            <w:r>
              <w:rPr>
                <w:rFonts w:hint="eastAsia" w:ascii="宋体" w:hAnsi="宋体"/>
                <w:szCs w:val="24"/>
              </w:rPr>
              <w:t>企业已经制定环境方针，具体包含在《管理手册》，公司的环境方针是：</w:t>
            </w:r>
          </w:p>
          <w:p>
            <w:pPr>
              <w:spacing w:line="560" w:lineRule="exact"/>
              <w:ind w:firstLine="210" w:firstLineChars="100"/>
              <w:rPr>
                <w:rFonts w:hAnsi="宋体"/>
                <w:b w:val="0"/>
                <w:bCs/>
                <w:sz w:val="21"/>
                <w:szCs w:val="21"/>
              </w:rPr>
            </w:pPr>
            <w:r>
              <w:rPr>
                <w:rFonts w:hint="eastAsia" w:hAnsi="宋体"/>
                <w:b w:val="0"/>
                <w:bCs/>
                <w:sz w:val="21"/>
                <w:szCs w:val="21"/>
              </w:rPr>
              <w:t>以人为本  保护环境  珍惜资源  和谐发展</w:t>
            </w:r>
          </w:p>
          <w:p>
            <w:pPr>
              <w:ind w:firstLine="308" w:firstLineChars="147"/>
              <w:rPr>
                <w:rFonts w:ascii="宋体" w:cs="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firstLine="422" w:firstLineChars="200"/>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20" w:firstLineChars="200"/>
              <w:rPr>
                <w:rFonts w:ascii="宋体" w:cs="宋体"/>
                <w:szCs w:val="21"/>
              </w:rPr>
            </w:pPr>
            <w:r>
              <w:rPr>
                <w:rFonts w:hint="eastAsia" w:ascii="宋体" w:hAnsi="宋体" w:cs="宋体"/>
                <w:szCs w:val="21"/>
              </w:rPr>
              <w:t>提供“风险与机遇评价与应对策划表”，按照销售服务、采购、支持过程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20" w:firstLineChars="200"/>
              <w:rPr>
                <w:rFonts w:ascii="宋体" w:cs="宋体"/>
                <w:szCs w:val="21"/>
              </w:rPr>
            </w:pPr>
            <w:r>
              <w:rPr>
                <w:rFonts w:hint="eastAsia" w:ascii="宋体" w:hAnsi="宋体" w:cs="宋体"/>
                <w:szCs w:val="21"/>
              </w:rPr>
              <w:t>风险机遇识别基本充分，应对风险和机遇的措施基本适宜。</w:t>
            </w:r>
          </w:p>
          <w:p>
            <w:pPr>
              <w:spacing w:line="240" w:lineRule="exact"/>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其中关键过程有</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rPr>
              <w:t>：</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55.15pt;margin-top:12.75pt;height:0pt;width:42pt;z-index:251663360;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w:t>
            </w:r>
            <w:r>
              <w:rPr>
                <w:rFonts w:hint="eastAsia" w:ascii="宋体" w:hAnsi="宋体"/>
                <w:b/>
                <w:color w:val="000000"/>
                <w:sz w:val="20"/>
                <w:szCs w:val="20"/>
              </w:rPr>
              <w:t>不适用理由：</w:t>
            </w:r>
            <w:r>
              <w:rPr>
                <w:rFonts w:ascii="宋体" w:hAnsi="宋体"/>
                <w:b/>
                <w:color w:val="000000"/>
                <w:sz w:val="20"/>
                <w:szCs w:val="20"/>
              </w:rPr>
              <w:t xml:space="preserve">             </w:t>
            </w:r>
          </w:p>
          <w:p>
            <w:pPr>
              <w:tabs>
                <w:tab w:val="left" w:pos="540"/>
              </w:tabs>
              <w:spacing w:line="300" w:lineRule="exact"/>
              <w:ind w:left="211" w:hanging="211" w:hangingChars="100"/>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hint="eastAsia" w:ascii="宋体" w:hAnsi="宋体"/>
                <w:b/>
                <w:color w:val="000000" w:themeColor="text1"/>
                <w:spacing w:val="-12"/>
                <w:szCs w:val="21"/>
              </w:rPr>
              <w:t>环境因素/</w:t>
            </w:r>
          </w:p>
          <w:p>
            <w:pPr>
              <w:rPr>
                <w:rFonts w:ascii="宋体" w:hAnsi="宋体"/>
                <w:b/>
                <w:color w:val="000000" w:themeColor="text1"/>
                <w:spacing w:val="-8"/>
                <w:szCs w:val="21"/>
              </w:rPr>
            </w:pPr>
            <w:r>
              <w:rPr>
                <w:rFonts w:hint="eastAsia" w:ascii="宋体" w:hAnsi="宋体"/>
                <w:b/>
                <w:color w:val="000000" w:themeColor="text1"/>
                <w:szCs w:val="21"/>
              </w:rPr>
              <w:t>（</w:t>
            </w:r>
            <w:r>
              <w:rPr>
                <w:rFonts w:hint="eastAsia" w:ascii="宋体" w:hAnsi="宋体"/>
                <w:b/>
                <w:color w:val="000000" w:themeColor="text1"/>
                <w:spacing w:val="-8"/>
                <w:szCs w:val="21"/>
              </w:rPr>
              <w:t>环境因素</w:t>
            </w:r>
            <w:r>
              <w:rPr>
                <w:rFonts w:hint="eastAsia" w:ascii="宋体" w:hAnsi="宋体"/>
                <w:b/>
                <w:color w:val="000000" w:themeColor="text1"/>
                <w:szCs w:val="21"/>
              </w:rPr>
              <w:t>辨识是否充分、重要环境因素评价合理性，</w:t>
            </w:r>
            <w:r>
              <w:rPr>
                <w:rFonts w:hint="eastAsia" w:ascii="宋体" w:hAnsi="宋体"/>
                <w:b/>
                <w:color w:val="000000" w:themeColor="text1"/>
                <w:spacing w:val="-8"/>
                <w:szCs w:val="21"/>
              </w:rPr>
              <w:t>以及环境因素动态变更的及时性等）</w:t>
            </w:r>
          </w:p>
          <w:p>
            <w:pPr>
              <w:pStyle w:val="3"/>
              <w:ind w:firstLine="420" w:firstLineChars="200"/>
              <w:rPr>
                <w:rFonts w:ascii="宋体" w:hAnsi="宋体"/>
                <w:color w:val="000000" w:themeColor="text1"/>
                <w:szCs w:val="21"/>
              </w:rPr>
            </w:pPr>
            <w:r>
              <w:rPr>
                <w:rFonts w:hint="eastAsia" w:ascii="宋体" w:hAnsi="宋体"/>
                <w:color w:val="000000" w:themeColor="text1"/>
                <w:szCs w:val="21"/>
              </w:rPr>
              <w:t>识别了办公、采购、销售等过程的环境因素，动态更新，评价出的重要环境因素包括：</w:t>
            </w:r>
            <w:r>
              <w:rPr>
                <w:rFonts w:hint="eastAsia" w:ascii="宋体" w:hAnsi="宋体" w:eastAsia="宋体" w:cs="宋体"/>
                <w:sz w:val="21"/>
                <w:szCs w:val="21"/>
              </w:rPr>
              <w:t>固体废弃物排放、火灾</w:t>
            </w:r>
            <w:r>
              <w:rPr>
                <w:rFonts w:hint="eastAsia" w:ascii="宋体" w:hAnsi="宋体" w:cs="宋体"/>
                <w:sz w:val="21"/>
                <w:szCs w:val="21"/>
                <w:lang w:val="en-US" w:eastAsia="zh-CN"/>
              </w:rPr>
              <w:t>爆炸</w:t>
            </w:r>
            <w:r>
              <w:rPr>
                <w:rFonts w:hint="eastAsia" w:ascii="宋体" w:hAnsi="宋体" w:eastAsia="宋体" w:cs="宋体"/>
                <w:sz w:val="21"/>
                <w:szCs w:val="21"/>
              </w:rPr>
              <w:t>事故的发生、</w:t>
            </w:r>
            <w:r>
              <w:rPr>
                <w:rFonts w:hint="eastAsia" w:ascii="宋体" w:hAnsi="宋体" w:cs="宋体"/>
                <w:sz w:val="21"/>
                <w:szCs w:val="21"/>
                <w:lang w:val="en-US" w:eastAsia="zh-CN"/>
              </w:rPr>
              <w:t>能源的消耗</w:t>
            </w:r>
            <w:r>
              <w:rPr>
                <w:rFonts w:hint="eastAsia" w:ascii="宋体" w:hAnsi="宋体"/>
                <w:color w:val="000000" w:themeColor="text1"/>
                <w:szCs w:val="21"/>
              </w:rPr>
              <w:t>。</w:t>
            </w:r>
          </w:p>
          <w:p>
            <w:pPr>
              <w:pStyle w:val="3"/>
              <w:ind w:firstLine="420" w:firstLineChars="200"/>
              <w:rPr>
                <w:rFonts w:ascii="宋体" w:hAnsi="宋体"/>
                <w:color w:val="000000" w:themeColor="text1"/>
                <w:szCs w:val="21"/>
              </w:rPr>
            </w:pPr>
            <w:r>
              <w:rPr>
                <w:rFonts w:hint="eastAsia" w:ascii="宋体" w:hAnsi="宋体"/>
                <w:color w:val="000000" w:themeColor="text1"/>
                <w:szCs w:val="21"/>
              </w:rPr>
              <w:t>在采购、销售、仓储、运输、交付、日常办公等过程能使用生命周期观点和方法识别环境因素并加以管理。</w:t>
            </w:r>
          </w:p>
          <w:p>
            <w:pPr>
              <w:pStyle w:val="3"/>
              <w:ind w:firstLine="420" w:firstLineChars="200"/>
              <w:rPr>
                <w:b/>
                <w:color w:val="000000" w:themeColor="text1"/>
                <w:sz w:val="20"/>
                <w:szCs w:val="20"/>
              </w:rPr>
            </w:pPr>
            <w:r>
              <w:rPr>
                <w:rFonts w:hint="eastAsia" w:ascii="宋体" w:hAnsi="宋体"/>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pStyle w:val="3"/>
              <w:ind w:firstLine="402" w:firstLineChars="200"/>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pStyle w:val="3"/>
              <w:ind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ascii="宋体" w:hAnsi="宋体"/>
                <w:b/>
                <w:color w:val="000000"/>
                <w:szCs w:val="21"/>
              </w:rPr>
              <w:t>法律法规的宣传方式：</w:t>
            </w:r>
            <w:r>
              <w:rPr>
                <w:rFonts w:hint="eastAsia" w:ascii="宋体" w:hAnsi="宋体" w:cs="宋体"/>
                <w:szCs w:val="21"/>
              </w:rPr>
              <w:t>通过培训、开会、发文件等形式将法律法规要求传达给了员工和相关方。</w:t>
            </w: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ind w:firstLine="420" w:firstLineChars="200"/>
              <w:rPr>
                <w:rFonts w:ascii="宋体" w:cs="宋体"/>
                <w:szCs w:val="21"/>
              </w:rPr>
            </w:pPr>
            <w:r>
              <w:rPr>
                <w:rFonts w:hint="eastAsia" w:ascii="宋体" w:hAnsi="宋体" w:cs="宋体"/>
                <w:szCs w:val="21"/>
              </w:rPr>
              <w:t>总经理负责组织制定公司的管理目标，并在公司各部门进行分解，制定时考虑了公司的过程及其风险和机遇。</w:t>
            </w:r>
          </w:p>
          <w:p>
            <w:pPr>
              <w:numPr>
                <w:ilvl w:val="0"/>
                <w:numId w:val="3"/>
              </w:numPr>
              <w:spacing w:line="410" w:lineRule="exact"/>
              <w:rPr>
                <w:rFonts w:hint="eastAsia" w:ascii="Arial" w:hAnsi="Arial" w:cs="Arial"/>
                <w:color w:val="auto"/>
                <w:szCs w:val="21"/>
              </w:rPr>
            </w:pPr>
            <w:r>
              <w:rPr>
                <w:rFonts w:hint="eastAsia" w:ascii="Arial" w:hAnsi="Arial" w:cs="Arial"/>
                <w:color w:val="auto"/>
                <w:szCs w:val="21"/>
              </w:rPr>
              <w:t>固体弃物有效处置率100％；</w:t>
            </w:r>
          </w:p>
          <w:p>
            <w:pPr>
              <w:numPr>
                <w:ilvl w:val="0"/>
                <w:numId w:val="3"/>
              </w:numPr>
              <w:spacing w:line="410" w:lineRule="exact"/>
              <w:rPr>
                <w:rFonts w:hint="eastAsia" w:ascii="Arial" w:hAnsi="Arial" w:cs="Arial"/>
                <w:color w:val="auto"/>
                <w:szCs w:val="21"/>
              </w:rPr>
            </w:pPr>
            <w:r>
              <w:rPr>
                <w:rFonts w:hint="eastAsia" w:ascii="Arial" w:hAnsi="Arial" w:cs="Arial"/>
                <w:color w:val="auto"/>
                <w:szCs w:val="21"/>
              </w:rPr>
              <w:t>资源节约同比降低1%</w:t>
            </w:r>
          </w:p>
          <w:p>
            <w:pPr>
              <w:spacing w:line="410" w:lineRule="exact"/>
              <w:ind w:firstLine="420" w:firstLineChars="200"/>
              <w:rPr>
                <w:rFonts w:hint="eastAsia" w:ascii="Arial" w:hAnsi="Arial" w:cs="Arial"/>
                <w:color w:val="auto"/>
                <w:szCs w:val="21"/>
              </w:rPr>
            </w:pPr>
            <w:r>
              <w:rPr>
                <w:rFonts w:hint="eastAsia" w:ascii="Arial" w:hAnsi="Arial" w:cs="Arial"/>
                <w:color w:val="auto"/>
                <w:szCs w:val="21"/>
              </w:rPr>
              <w:t>3、杜绝火灾事故；</w:t>
            </w:r>
          </w:p>
          <w:p>
            <w:pPr>
              <w:rPr>
                <w:rFonts w:ascii="宋体" w:cs="宋体"/>
                <w:szCs w:val="21"/>
              </w:rPr>
            </w:pPr>
            <w:r>
              <w:rPr>
                <w:rFonts w:hint="eastAsia" w:ascii="宋体" w:hAnsi="宋体" w:cs="宋体"/>
                <w:szCs w:val="21"/>
              </w:rPr>
              <w:t>提供《目标指标和管理方案》《目标指标和管理方案考核表》</w:t>
            </w:r>
          </w:p>
          <w:p>
            <w:pPr>
              <w:spacing w:line="240" w:lineRule="exact"/>
              <w:rPr>
                <w:rFonts w:ascii="宋体"/>
                <w:b/>
                <w:color w:val="000000"/>
              </w:rPr>
            </w:pPr>
            <w:r>
              <w:rPr>
                <w:rFonts w:hint="eastAsia" w:ascii="宋体" w:hAnsi="宋体" w:cs="宋体"/>
                <w:szCs w:val="21"/>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4"/>
              </w:numPr>
              <w:rPr>
                <w:rFonts w:ascii="宋体" w:cs="宋体"/>
                <w:szCs w:val="21"/>
              </w:rPr>
            </w:pPr>
            <w:r>
              <w:rPr>
                <w:rFonts w:hint="eastAsia" w:ascii="宋体" w:hAnsi="宋体" w:cs="宋体"/>
                <w:szCs w:val="21"/>
              </w:rPr>
              <w:t>管理手册</w:t>
            </w:r>
            <w:r>
              <w:rPr>
                <w:rFonts w:hint="eastAsia" w:ascii="楷体" w:hAnsi="楷体" w:eastAsia="楷体" w:cs="楷体"/>
                <w:b w:val="0"/>
                <w:bCs/>
                <w:sz w:val="21"/>
                <w:szCs w:val="21"/>
              </w:rPr>
              <w:t>MS-EM-01</w:t>
            </w:r>
            <w:r>
              <w:rPr>
                <w:rFonts w:hint="eastAsia" w:ascii="宋体" w:hAnsi="宋体" w:cs="宋体"/>
                <w:szCs w:val="21"/>
              </w:rPr>
              <w:t>A</w:t>
            </w:r>
            <w:r>
              <w:rPr>
                <w:rFonts w:ascii="宋体" w:hAnsi="宋体" w:cs="宋体"/>
                <w:szCs w:val="21"/>
              </w:rPr>
              <w:t xml:space="preserve"> </w:t>
            </w:r>
            <w:r>
              <w:rPr>
                <w:rFonts w:hint="eastAsia" w:ascii="宋体" w:hAnsi="宋体" w:cs="宋体"/>
                <w:szCs w:val="21"/>
                <w:lang w:val="en-US" w:eastAsia="zh-CN"/>
              </w:rPr>
              <w:t>/0</w:t>
            </w:r>
            <w:r>
              <w:rPr>
                <w:rFonts w:hint="eastAsia" w:ascii="宋体" w:hAnsi="宋体"/>
                <w:bCs/>
                <w:szCs w:val="21"/>
              </w:rPr>
              <w:t>版</w:t>
            </w:r>
            <w:r>
              <w:rPr>
                <w:rFonts w:hint="eastAsia" w:ascii="宋体" w:hAnsi="宋体" w:cs="宋体"/>
                <w:szCs w:val="21"/>
              </w:rPr>
              <w:t>，发布时间：</w:t>
            </w:r>
            <w:r>
              <w:rPr>
                <w:rFonts w:ascii="宋体" w:hAnsi="宋体" w:cs="宋体"/>
                <w:szCs w:val="21"/>
              </w:rPr>
              <w:t>2019.</w:t>
            </w:r>
            <w:r>
              <w:rPr>
                <w:rFonts w:hint="eastAsia" w:ascii="宋体" w:hAnsi="宋体" w:cs="宋体"/>
                <w:szCs w:val="21"/>
                <w:lang w:val="en-US" w:eastAsia="zh-CN"/>
              </w:rPr>
              <w:t>5</w:t>
            </w:r>
            <w:r>
              <w:rPr>
                <w:rFonts w:ascii="宋体" w:hAnsi="宋体" w:cs="宋体"/>
                <w:szCs w:val="21"/>
              </w:rPr>
              <w:t>.</w:t>
            </w:r>
            <w:r>
              <w:rPr>
                <w:rFonts w:hint="eastAsia" w:ascii="宋体" w:hAnsi="宋体" w:cs="宋体"/>
                <w:szCs w:val="21"/>
                <w:lang w:val="en-US" w:eastAsia="zh-CN"/>
              </w:rPr>
              <w:t>10</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2019.</w:t>
            </w:r>
            <w:r>
              <w:rPr>
                <w:rFonts w:hint="eastAsia" w:ascii="宋体" w:hAnsi="宋体" w:cs="宋体"/>
                <w:szCs w:val="21"/>
                <w:lang w:val="en-US" w:eastAsia="zh-CN"/>
              </w:rPr>
              <w:t>5</w:t>
            </w:r>
            <w:r>
              <w:rPr>
                <w:rFonts w:ascii="宋体" w:hAnsi="宋体" w:cs="宋体"/>
                <w:szCs w:val="21"/>
              </w:rPr>
              <w:t>.</w:t>
            </w:r>
            <w:r>
              <w:rPr>
                <w:rFonts w:hint="eastAsia" w:ascii="宋体" w:hAnsi="宋体" w:cs="宋体"/>
                <w:szCs w:val="21"/>
                <w:lang w:val="en-US" w:eastAsia="zh-CN"/>
              </w:rPr>
              <w:t>10</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lang w:val="en-US" w:eastAsia="zh-CN"/>
              </w:rPr>
              <w:t>程序</w:t>
            </w:r>
            <w:r>
              <w:rPr>
                <w:rFonts w:hint="eastAsia" w:ascii="宋体" w:hAnsi="宋体" w:cs="宋体"/>
                <w:szCs w:val="21"/>
              </w:rPr>
              <w:t>文件，含</w:t>
            </w:r>
            <w:r>
              <w:rPr>
                <w:rFonts w:hint="eastAsia" w:ascii="宋体" w:hAnsi="宋体" w:cs="宋体"/>
                <w:szCs w:val="21"/>
                <w:lang w:val="en-US" w:eastAsia="zh-CN"/>
              </w:rPr>
              <w:t>19</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编制了《文件控制程序》，用于对管理体系文件，符合标准要求。</w:t>
            </w:r>
          </w:p>
          <w:p>
            <w:pPr>
              <w:ind w:firstLine="420" w:firstLineChars="200"/>
            </w:pPr>
            <w:r>
              <w:rPr>
                <w:rFonts w:hint="eastAsia"/>
              </w:rPr>
              <w:t>查办公室管理手册、管理制度等文件均保管良好，为有效版本，有受控标识。</w:t>
            </w:r>
          </w:p>
          <w:p>
            <w:pPr>
              <w:ind w:firstLine="420" w:firstLineChars="200"/>
            </w:pPr>
            <w:r>
              <w:rPr>
                <w:rFonts w:hint="eastAsia"/>
                <w:lang w:val="en-US" w:eastAsia="zh-CN"/>
              </w:rPr>
              <w:t>行政部</w:t>
            </w:r>
            <w:r>
              <w:rPr>
                <w:rFonts w:hint="eastAsia"/>
              </w:rPr>
              <w:t>负责收集有关产品的国家标准、行业标准的最新版本，分发到相关部门使用；收回旧标准。</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tabs>
                <w:tab w:val="left" w:pos="540"/>
              </w:tabs>
              <w:spacing w:line="240" w:lineRule="exact"/>
              <w:rPr>
                <w:rFonts w:ascii="宋体"/>
                <w:b/>
                <w:color w:val="000000"/>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ind w:firstLine="210" w:firstLineChars="100"/>
              <w:rPr>
                <w:rFonts w:ascii="宋体"/>
                <w:b/>
                <w:color w:val="000000"/>
                <w:sz w:val="20"/>
                <w:szCs w:val="20"/>
              </w:rPr>
            </w:pPr>
            <w:r>
              <w:rPr>
                <w:rFonts w:hint="eastAsia" w:ascii="宋体" w:hAnsi="宋体"/>
                <w:szCs w:val="21"/>
                <w:lang w:val="en-US" w:eastAsia="zh-CN"/>
              </w:rPr>
              <w:t>采购</w:t>
            </w:r>
            <w:r>
              <w:rPr>
                <w:rFonts w:hint="eastAsia" w:ascii="宋体" w:hAnsi="宋体"/>
                <w:szCs w:val="21"/>
              </w:rPr>
              <w:t>销售</w:t>
            </w:r>
            <w:r>
              <w:rPr>
                <w:rFonts w:hint="eastAsia" w:ascii="宋体" w:hAnsi="宋体" w:cs="宋体"/>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hint="default" w:ascii="宋体" w:eastAsia="宋体"/>
                <w:color w:val="000000"/>
                <w:sz w:val="20"/>
                <w:szCs w:val="20"/>
                <w:lang w:val="en-US" w:eastAsia="zh-CN"/>
              </w:rPr>
            </w:pPr>
            <w:r>
              <w:rPr>
                <w:rFonts w:hint="eastAsia" w:ascii="宋体"/>
                <w:color w:val="000000"/>
                <w:sz w:val="20"/>
                <w:szCs w:val="20"/>
                <w:lang w:val="en-US" w:eastAsia="zh-CN"/>
              </w:rPr>
              <w:t>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9"/>
              <w:rPr>
                <w:rFonts w:eastAsia="宋体" w:cs="宋体"/>
                <w:color w:val="auto"/>
                <w:kern w:val="2"/>
                <w:sz w:val="21"/>
                <w:szCs w:val="21"/>
              </w:rPr>
            </w:pPr>
            <w:r>
              <w:rPr>
                <w:rFonts w:hint="eastAsia" w:eastAsia="宋体" w:cs="宋体"/>
                <w:color w:val="auto"/>
                <w:kern w:val="2"/>
                <w:sz w:val="21"/>
                <w:szCs w:val="21"/>
              </w:rPr>
              <w:t>现场观察办公区、</w:t>
            </w:r>
            <w:r>
              <w:rPr>
                <w:rFonts w:hint="eastAsia" w:eastAsia="宋体" w:cs="宋体"/>
                <w:color w:val="auto"/>
                <w:kern w:val="2"/>
                <w:sz w:val="21"/>
                <w:szCs w:val="21"/>
                <w:lang w:val="en-US" w:eastAsia="zh-CN"/>
              </w:rPr>
              <w:t>仓库</w:t>
            </w:r>
            <w:r>
              <w:rPr>
                <w:rFonts w:hint="eastAsia" w:eastAsia="宋体" w:cs="宋体"/>
                <w:color w:val="auto"/>
                <w:kern w:val="2"/>
                <w:sz w:val="21"/>
                <w:szCs w:val="21"/>
              </w:rPr>
              <w:t xml:space="preserve">环境卫生管理，工作场所布局合理，温湿度适宜，照明良好，满足办公需求。 </w:t>
            </w:r>
          </w:p>
          <w:p>
            <w:pPr>
              <w:pStyle w:val="9"/>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w:t>
            </w:r>
          </w:p>
          <w:p>
            <w:pPr>
              <w:spacing w:line="240" w:lineRule="exact"/>
              <w:rPr>
                <w:rFonts w:ascii="宋体"/>
                <w:b/>
                <w:color w:val="000000"/>
                <w:sz w:val="20"/>
                <w:szCs w:val="20"/>
              </w:rPr>
            </w:pPr>
            <w:r>
              <w:rPr>
                <w:rFonts w:hint="eastAsia" w:ascii="宋体" w:hAnsi="宋体" w:cs="宋体"/>
                <w:bCs/>
                <w:szCs w:val="21"/>
              </w:rPr>
              <w:t>环保设备配置</w:t>
            </w:r>
            <w:r>
              <w:rPr>
                <w:rFonts w:ascii="宋体" w:hAnsi="宋体" w:cs="宋体"/>
                <w:bCs/>
                <w:szCs w:val="21"/>
              </w:rPr>
              <w:t>:</w:t>
            </w:r>
            <w:r>
              <w:rPr>
                <w:rFonts w:ascii="宋体" w:hAnsi="宋体" w:cs="宋体"/>
                <w:szCs w:val="21"/>
              </w:rPr>
              <w:t xml:space="preserve"> </w:t>
            </w:r>
            <w:r>
              <w:rPr>
                <w:rFonts w:hint="eastAsia" w:ascii="宋体" w:hAnsi="宋体" w:cs="宋体"/>
                <w:szCs w:val="21"/>
                <w:lang w:val="en-US" w:eastAsia="zh-CN"/>
              </w:rPr>
              <w:t>固体废弃物收纳桶、</w:t>
            </w:r>
            <w:r>
              <w:rPr>
                <w:rFonts w:hint="eastAsia" w:ascii="宋体" w:hAnsi="宋体" w:cs="宋体"/>
                <w:bCs/>
                <w:szCs w:val="21"/>
              </w:rPr>
              <w:t>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ind w:firstLine="201" w:firstLineChars="100"/>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spacing w:line="400" w:lineRule="exact"/>
              <w:ind w:firstLine="210" w:firstLineChars="100"/>
              <w:rPr>
                <w:rFonts w:ascii="宋体"/>
                <w:szCs w:val="21"/>
              </w:rPr>
            </w:pPr>
            <w:r>
              <w:rPr>
                <w:rFonts w:hint="eastAsia" w:ascii="宋体" w:hAnsi="宋体"/>
                <w:szCs w:val="22"/>
                <w:u w:val="none"/>
              </w:rPr>
              <w:t>根据组织宗旨制定了管理体系方针，进行了有效沟通，在管理评审时进行评审，</w:t>
            </w:r>
            <w:r>
              <w:rPr>
                <w:rFonts w:ascii="宋体" w:hAnsi="宋体"/>
                <w:szCs w:val="22"/>
                <w:u w:val="none"/>
              </w:rPr>
              <w:t>符合要求</w:t>
            </w:r>
            <w:r>
              <w:rPr>
                <w:rFonts w:hint="eastAsia" w:ascii="宋体" w:hAnsi="宋体"/>
                <w:szCs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行政部</w:t>
            </w:r>
            <w:r>
              <w:rPr>
                <w:rFonts w:hint="eastAsia" w:ascii="宋体" w:hAnsi="宋体" w:cs="宋体"/>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w:t>
            </w:r>
            <w:r>
              <w:rPr>
                <w:rFonts w:hint="eastAsia" w:ascii="宋体" w:hAnsi="宋体" w:cs="宋体"/>
                <w:szCs w:val="21"/>
                <w:lang w:val="en-US" w:eastAsia="zh-CN"/>
              </w:rPr>
              <w:t>环境</w:t>
            </w:r>
            <w:r>
              <w:rPr>
                <w:rFonts w:hint="eastAsia" w:ascii="宋体" w:hAnsi="宋体" w:cs="宋体"/>
                <w:szCs w:val="21"/>
              </w:rPr>
              <w:t>方面的信息，包括法律法规等，及时向</w:t>
            </w:r>
            <w:r>
              <w:rPr>
                <w:rFonts w:hint="eastAsia" w:ascii="宋体" w:hAnsi="宋体" w:cs="宋体"/>
                <w:szCs w:val="21"/>
                <w:lang w:val="en-US" w:eastAsia="zh-CN"/>
              </w:rPr>
              <w:t>行政部</w:t>
            </w:r>
            <w:r>
              <w:rPr>
                <w:rFonts w:hint="eastAsia" w:ascii="宋体" w:hAnsi="宋体" w:cs="宋体"/>
                <w:szCs w:val="21"/>
              </w:rPr>
              <w:t>反馈。</w:t>
            </w:r>
            <w:r>
              <w:rPr>
                <w:rFonts w:hint="eastAsia" w:ascii="宋体" w:hAnsi="宋体" w:cs="宋体"/>
                <w:szCs w:val="21"/>
                <w:lang w:val="en-US" w:eastAsia="zh-CN"/>
              </w:rPr>
              <w:t>业务部</w:t>
            </w:r>
            <w:r>
              <w:rPr>
                <w:rFonts w:hint="eastAsia" w:ascii="宋体" w:hAnsi="宋体" w:cs="宋体"/>
                <w:szCs w:val="21"/>
              </w:rPr>
              <w:t>负责顾客要求方面的有关事宜的沟通。</w:t>
            </w:r>
          </w:p>
          <w:p>
            <w:pPr>
              <w:ind w:firstLine="420" w:firstLineChars="200"/>
              <w:rPr>
                <w:rFonts w:ascii="楷体_GB2312" w:eastAsia="楷体_GB2312"/>
                <w:b/>
                <w:color w:val="000000"/>
                <w:szCs w:val="21"/>
              </w:rPr>
            </w:pPr>
            <w:r>
              <w:rPr>
                <w:rFonts w:hint="eastAsia" w:ascii="宋体" w:hAnsi="宋体" w:cs="宋体"/>
                <w:szCs w:val="21"/>
              </w:rPr>
              <w:t>目前各项沟通都较为及时、顺畅、效果较好。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pacing w:line="240" w:lineRule="exact"/>
              <w:rPr>
                <w:b/>
                <w:color w:val="000000"/>
                <w:sz w:val="20"/>
                <w:szCs w:val="20"/>
              </w:rPr>
            </w:pPr>
            <w:r>
              <w:rPr>
                <w:b/>
                <w:color w:val="000000"/>
                <w:sz w:val="20"/>
                <w:szCs w:val="20"/>
              </w:rPr>
              <w:t xml:space="preserve"> </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 w:val="20"/>
                <w:szCs w:val="20"/>
              </w:rPr>
            </w:pPr>
          </w:p>
          <w:p>
            <w:pPr>
              <w:spacing w:line="240" w:lineRule="exact"/>
              <w:rPr>
                <w:color w:val="000000"/>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7. EMS组织对重要环境因素实施控制的结果</w:t>
            </w:r>
          </w:p>
          <w:p>
            <w:pPr>
              <w:spacing w:line="240" w:lineRule="exact"/>
              <w:rPr>
                <w:b/>
                <w:color w:val="000000"/>
                <w:sz w:val="20"/>
              </w:rPr>
            </w:pPr>
            <w:r>
              <w:rPr>
                <w:rFonts w:hint="eastAsia"/>
                <w:b/>
                <w:color w:val="000000"/>
                <w:sz w:val="20"/>
              </w:rPr>
              <w:t>（EMS对重要环境因素控制，重大环境因素对周边环境产生的影响及控制;对相关方施加影响）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行政部</w:t>
            </w:r>
            <w:r>
              <w:rPr>
                <w:rFonts w:hint="eastAsia" w:ascii="宋体" w:hAnsi="宋体" w:eastAsia="宋体" w:cs="宋体"/>
                <w:sz w:val="21"/>
                <w:szCs w:val="21"/>
              </w:rPr>
              <w:t>定期组织环保知识培训，员工具备了基本的环保意识，见7.3条款审核记录。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按公司要求人走关灯，办公室电脑要求人走后电源切断。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办公内主要是电的使用，电器有漏电保护器，经常对电路、电源进行检查，没有露电现象发生。</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办公室垃圾主要包含可回收垃圾、硒鼓、废纸。公司配置了垃圾箱，</w:t>
            </w:r>
            <w:r>
              <w:rPr>
                <w:rFonts w:hint="eastAsia" w:ascii="宋体" w:hAnsi="宋体" w:eastAsia="宋体" w:cs="宋体"/>
                <w:sz w:val="21"/>
                <w:szCs w:val="21"/>
                <w:lang w:val="en-US" w:eastAsia="zh-CN"/>
              </w:rPr>
              <w:t>行政部</w:t>
            </w:r>
            <w:r>
              <w:rPr>
                <w:rFonts w:hint="eastAsia" w:ascii="宋体" w:hAnsi="宋体" w:eastAsia="宋体" w:cs="宋体"/>
                <w:sz w:val="21"/>
                <w:szCs w:val="21"/>
              </w:rPr>
              <w:t>统一处理。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对可回收的固体废弃物，一部分由厂家回收，厂家不回收的公司统一回收再利用或由物资回收公司处理。不可回收的废弃物由公司办公室统一处理，各部门不得单独处理。</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仓库的面积在500平米左右，配置了消防栓、灭火器和应急灯，通风、照明情况良好。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为满足环境的运行，公司投入了环保资金，主要是购买消防设施、环保设施等，运行至今支出约</w:t>
            </w:r>
            <w:r>
              <w:rPr>
                <w:rFonts w:hint="eastAsia" w:ascii="宋体" w:hAnsi="宋体" w:eastAsia="宋体" w:cs="宋体"/>
                <w:sz w:val="21"/>
                <w:szCs w:val="21"/>
                <w:lang w:val="en-US" w:eastAsia="zh-CN"/>
              </w:rPr>
              <w:t>2</w:t>
            </w:r>
            <w:r>
              <w:rPr>
                <w:rFonts w:hint="eastAsia" w:ascii="宋体" w:hAnsi="宋体" w:eastAsia="宋体" w:cs="宋体"/>
                <w:sz w:val="21"/>
                <w:szCs w:val="21"/>
              </w:rPr>
              <w:t>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办公纸张尽量采取双面打印，人走灯灭，定期检查水管跑冒滴漏。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现场巡视办公区域配备了消防栓和灭火器，状况正常。</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部门运行控制基本符合要求。</w:t>
            </w:r>
          </w:p>
          <w:p>
            <w:pPr>
              <w:spacing w:line="240" w:lineRule="auto"/>
              <w:ind w:firstLine="421"/>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8. OHS 组织对不可接受风险实施控制的结果</w:t>
            </w:r>
          </w:p>
          <w:p>
            <w:pPr>
              <w:spacing w:line="240" w:lineRule="exact"/>
              <w:ind w:firstLine="402" w:firstLineChars="200"/>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420" w:firstLineChars="200"/>
              <w:rPr>
                <w:rFonts w:ascii="宋体" w:cs="宋体"/>
                <w:szCs w:val="21"/>
                <w:lang w:val="en-GB"/>
              </w:rPr>
            </w:pPr>
            <w:r>
              <w:rPr>
                <w:rFonts w:hint="eastAsia" w:ascii="宋体" w:hAnsi="宋体" w:cs="宋体"/>
                <w:szCs w:val="21"/>
                <w:lang w:val="en-GB"/>
              </w:rPr>
              <w:t>制定了《应急准备和响应控制程序》，编制了火灾</w:t>
            </w:r>
            <w:r>
              <w:rPr>
                <w:rFonts w:hint="eastAsia" w:ascii="宋体" w:hAnsi="宋体" w:cs="宋体"/>
                <w:szCs w:val="21"/>
                <w:lang w:val="en-US" w:eastAsia="zh-CN"/>
              </w:rPr>
              <w:t>专项</w:t>
            </w:r>
            <w:r>
              <w:rPr>
                <w:rFonts w:hint="eastAsia" w:ascii="宋体" w:hAnsi="宋体" w:cs="宋体"/>
                <w:szCs w:val="21"/>
                <w:lang w:val="en-GB"/>
              </w:rPr>
              <w:t>应急预案，包含有事件级别及不同级别事件的处理程序、事件处理组织机构及职责分工、通用及特殊处理程序、各岗位要求等。具有可操作性。</w:t>
            </w:r>
          </w:p>
          <w:p>
            <w:pPr>
              <w:ind w:firstLine="420" w:firstLineChars="200"/>
              <w:rPr>
                <w:rFonts w:hint="eastAsia" w:ascii="宋体" w:hAnsi="宋体" w:cs="宋体"/>
                <w:bCs/>
                <w:szCs w:val="21"/>
              </w:rPr>
            </w:pPr>
            <w:r>
              <w:rPr>
                <w:rFonts w:hint="eastAsia" w:ascii="宋体" w:hAnsi="宋体" w:cs="宋体"/>
                <w:szCs w:val="21"/>
              </w:rPr>
              <w:t>定期记录应急预案的演练，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对新冠疫情的防控严格按政府规定执行，上班测量体温，佩带防护口罩，员工办工保持一定距离，办公室和仓库定时喷洒消毒药水。</w:t>
            </w:r>
          </w:p>
          <w:p>
            <w:pPr>
              <w:ind w:firstLine="420" w:firstLineChars="200"/>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sz w:val="20"/>
                <w:szCs w:val="20"/>
              </w:rPr>
              <w:t>对特种设备的维护，检定</w:t>
            </w:r>
            <w:r>
              <w:rPr>
                <w:b/>
                <w:sz w:val="20"/>
                <w:szCs w:val="20"/>
              </w:rPr>
              <w:t xml:space="preserve">; </w:t>
            </w:r>
          </w:p>
          <w:p>
            <w:pPr>
              <w:spacing w:line="240" w:lineRule="exact"/>
              <w:ind w:firstLine="392" w:firstLineChars="196"/>
              <w:rPr>
                <w:rFonts w:hint="eastAsia" w:eastAsia="宋体"/>
                <w:color w:val="000000"/>
                <w:sz w:val="20"/>
                <w:szCs w:val="20"/>
                <w:u w:val="single"/>
                <w:lang w:val="en-US" w:eastAsia="zh-CN"/>
              </w:rPr>
            </w:pPr>
            <w:r>
              <w:rPr>
                <w:rFonts w:hint="eastAsia"/>
                <w:color w:val="000000"/>
                <w:sz w:val="20"/>
                <w:szCs w:val="20"/>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ind w:firstLine="392" w:firstLineChars="196"/>
              <w:rPr>
                <w:color w:val="000000"/>
                <w:sz w:val="20"/>
                <w:szCs w:val="20"/>
                <w:u w:val="single"/>
              </w:rPr>
            </w:pPr>
            <w:r>
              <w:rPr>
                <w:color w:val="000000"/>
                <w:sz w:val="20"/>
                <w:szCs w:val="20"/>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spacing w:line="240" w:lineRule="exact"/>
              <w:ind w:firstLine="100" w:firstLineChars="5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ind w:left="100" w:hanging="100" w:hangingChars="50"/>
              <w:rPr>
                <w:b/>
                <w:color w:val="000000"/>
                <w:sz w:val="20"/>
                <w:szCs w:val="20"/>
              </w:rPr>
            </w:pPr>
            <w:r>
              <w:rPr>
                <w:b/>
                <w:color w:val="000000"/>
                <w:sz w:val="20"/>
                <w:szCs w:val="20"/>
              </w:rPr>
              <w:t>2.</w:t>
            </w: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公司通过电话，走访等形式，接受顾客反馈，了解顾客满意度信息，发放调查表对顾客满意度进行定量测量。</w:t>
            </w:r>
          </w:p>
          <w:p>
            <w:pPr>
              <w:ind w:firstLine="420" w:firstLineChars="200"/>
              <w:rPr>
                <w:b/>
                <w:color w:val="000000"/>
                <w:sz w:val="20"/>
                <w:szCs w:val="20"/>
              </w:rPr>
            </w:pPr>
            <w:r>
              <w:rPr>
                <w:rFonts w:hint="eastAsia"/>
                <w:szCs w:val="21"/>
                <w:lang w:val="zh-CN"/>
              </w:rPr>
              <w:t>提供“顾客满意程度调查表”顾客较满意。</w:t>
            </w:r>
            <w:r>
              <w:rPr>
                <w:b/>
                <w:color w:val="000000"/>
                <w:sz w:val="20"/>
                <w:szCs w:val="20"/>
              </w:rPr>
              <w:t xml:space="preserve"> </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rPr>
                <w:rFonts w:ascii="宋体"/>
                <w:szCs w:val="21"/>
              </w:rPr>
            </w:pPr>
            <w:r>
              <w:rPr>
                <w:rFonts w:hint="eastAsia" w:ascii="宋体" w:hAnsi="宋体"/>
                <w:szCs w:val="21"/>
              </w:rPr>
              <w:t>公司制定《内部审核控制程序》，对内部审核方案策划规定，提供了《</w:t>
            </w:r>
            <w:r>
              <w:rPr>
                <w:rFonts w:ascii="宋体" w:hAnsi="宋体"/>
                <w:szCs w:val="21"/>
              </w:rPr>
              <w:t>2019</w:t>
            </w:r>
            <w:r>
              <w:rPr>
                <w:rFonts w:hint="eastAsia" w:ascii="宋体" w:hAnsi="宋体"/>
                <w:szCs w:val="21"/>
              </w:rPr>
              <w:t>年内部审核实施计划》，发布了内部管理体系审核通知，计划内容有：目的、范围、审核准则、审核时间</w:t>
            </w:r>
            <w:r>
              <w:rPr>
                <w:rFonts w:ascii="宋体" w:hAnsi="宋体"/>
                <w:szCs w:val="21"/>
              </w:rPr>
              <w:t>2019</w:t>
            </w:r>
            <w:r>
              <w:rPr>
                <w:rFonts w:hint="eastAsia" w:ascii="宋体" w:hAnsi="宋体"/>
                <w:szCs w:val="21"/>
              </w:rPr>
              <w:t>年8月</w:t>
            </w:r>
            <w:r>
              <w:rPr>
                <w:rFonts w:hint="eastAsia" w:ascii="宋体" w:hAnsi="宋体"/>
                <w:szCs w:val="21"/>
                <w:lang w:val="en-US" w:eastAsia="zh-CN"/>
              </w:rPr>
              <w:t>20</w:t>
            </w:r>
            <w:r>
              <w:rPr>
                <w:rFonts w:hint="eastAsia" w:ascii="宋体" w:hAnsi="宋体"/>
                <w:szCs w:val="21"/>
              </w:rPr>
              <w:t>日。查阅</w:t>
            </w:r>
            <w:r>
              <w:rPr>
                <w:rFonts w:ascii="宋体" w:hAnsi="宋体"/>
                <w:szCs w:val="21"/>
              </w:rPr>
              <w:t>2019</w:t>
            </w:r>
            <w:r>
              <w:rPr>
                <w:rFonts w:hint="eastAsia" w:ascii="宋体" w:hAnsi="宋体"/>
                <w:szCs w:val="21"/>
              </w:rPr>
              <w:t>年度内部审核有关记录</w:t>
            </w:r>
            <w:r>
              <w:rPr>
                <w:rFonts w:hint="eastAsia" w:ascii="宋体"/>
                <w:szCs w:val="21"/>
              </w:rPr>
              <w:t>，</w:t>
            </w:r>
            <w:r>
              <w:rPr>
                <w:rFonts w:hint="eastAsia" w:ascii="宋体" w:hAnsi="宋体"/>
                <w:szCs w:val="21"/>
              </w:rPr>
              <w:t>查全条款覆盖。</w:t>
            </w:r>
          </w:p>
          <w:p>
            <w:pPr>
              <w:spacing w:line="360" w:lineRule="exact"/>
              <w:rPr>
                <w:rFonts w:ascii="宋体"/>
                <w:szCs w:val="21"/>
              </w:rPr>
            </w:pPr>
            <w:r>
              <w:rPr>
                <w:rFonts w:hint="eastAsia" w:ascii="宋体" w:hAnsi="宋体"/>
                <w:szCs w:val="21"/>
              </w:rPr>
              <w:t>提供了《内审不合格报告》</w:t>
            </w:r>
            <w:r>
              <w:rPr>
                <w:rFonts w:hint="eastAsia" w:ascii="宋体"/>
                <w:szCs w:val="21"/>
              </w:rPr>
              <w:t>，</w:t>
            </w:r>
            <w:r>
              <w:rPr>
                <w:rFonts w:hint="eastAsia" w:ascii="宋体" w:hAnsi="宋体"/>
                <w:szCs w:val="21"/>
              </w:rPr>
              <w:t>提供《审核报告》审核报告中包括审核目的、审核范围、审核依据、审核内容摘要、审核结论等内容，对审核过程进行了综述，对公司管理体系的符合性进行了评价，针对不足部门提出了建议改进。</w:t>
            </w:r>
          </w:p>
          <w:p>
            <w:pPr>
              <w:spacing w:line="360" w:lineRule="auto"/>
              <w:ind w:firstLine="480"/>
              <w:rPr>
                <w:b/>
                <w:color w:val="000000"/>
                <w:sz w:val="20"/>
                <w:szCs w:val="20"/>
              </w:rPr>
            </w:pPr>
            <w:r>
              <w:rPr>
                <w:rFonts w:hint="eastAsia" w:ascii="宋体" w:hAnsi="宋体"/>
                <w:szCs w:val="21"/>
              </w:rPr>
              <w:t>审核结论：</w:t>
            </w:r>
            <w:r>
              <w:rPr>
                <w:rFonts w:hint="eastAsia" w:ascii="宋体" w:hAnsi="宋体"/>
                <w:color w:val="000000"/>
                <w:szCs w:val="21"/>
              </w:rPr>
              <w:t>本公司管理体系是符合</w:t>
            </w:r>
            <w:r>
              <w:rPr>
                <w:rFonts w:ascii="宋体" w:hAnsi="宋体"/>
                <w:color w:val="000000"/>
                <w:szCs w:val="21"/>
              </w:rPr>
              <w:t>GB/T24001-2016/ISO 14001</w:t>
            </w:r>
            <w:r>
              <w:rPr>
                <w:rFonts w:hint="eastAsia" w:ascii="宋体" w:hAnsi="宋体"/>
                <w:color w:val="000000"/>
                <w:szCs w:val="21"/>
              </w:rPr>
              <w:t>：</w:t>
            </w:r>
            <w:r>
              <w:rPr>
                <w:rFonts w:ascii="宋体" w:hAnsi="宋体"/>
                <w:color w:val="000000"/>
                <w:szCs w:val="21"/>
              </w:rPr>
              <w:t>2015</w:t>
            </w:r>
            <w:r>
              <w:rPr>
                <w:rFonts w:hint="eastAsia" w:ascii="宋体" w:hAnsi="宋体"/>
                <w:color w:val="000000"/>
                <w:szCs w:val="21"/>
              </w:rPr>
              <w:t>《环境管理体系</w:t>
            </w:r>
            <w:r>
              <w:rPr>
                <w:rFonts w:ascii="宋体" w:hAnsi="宋体"/>
                <w:color w:val="000000"/>
                <w:szCs w:val="21"/>
              </w:rPr>
              <w:t>——</w:t>
            </w:r>
            <w:r>
              <w:rPr>
                <w:rFonts w:hint="eastAsia" w:ascii="宋体" w:hAnsi="宋体"/>
                <w:color w:val="000000"/>
                <w:szCs w:val="21"/>
              </w:rPr>
              <w:t>要求及使用指南》标准要求的，也是符合相关法律、法规要求的。在管理体系运行的过程中，本公司认为是较适宜的、充分的，其运行是有</w:t>
            </w:r>
            <w:r>
              <w:rPr>
                <w:rFonts w:hint="eastAsia" w:ascii="宋体" w:hAnsi="宋体"/>
                <w:color w:val="000000"/>
                <w:szCs w:val="21"/>
                <w:lang w:val="en-US" w:eastAsia="zh-CN"/>
              </w:rPr>
              <w:t>效</w:t>
            </w:r>
            <w:r>
              <w:rPr>
                <w:rFonts w:hint="eastAsia" w:ascii="宋体" w:hAnsi="宋体"/>
                <w:color w:val="000000"/>
                <w:szCs w:val="21"/>
              </w:rPr>
              <w:t>的。本公司的管理方针得到了广泛的宣传和贯彻，并成为广大员工的自觉行为，各职能部门能按公司管理体系文件的要求执行，但某些部门或车间在执行管理体系文件的过程中仍存在着问题，还有待于持续改进。</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GB/T24001-2016</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一、管理评审，评审时间：</w:t>
            </w:r>
            <w:r>
              <w:rPr>
                <w:rFonts w:ascii="宋体" w:hAnsi="宋体" w:cs="宋体"/>
                <w:szCs w:val="21"/>
              </w:rPr>
              <w:t>2019</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r>
              <w:rPr>
                <w:rFonts w:ascii="宋体" w:hAns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ascii="宋体" w:cs="宋体"/>
                <w:szCs w:val="21"/>
              </w:rPr>
            </w:pPr>
            <w:r>
              <w:rPr>
                <w:rFonts w:hint="eastAsia" w:ascii="宋体" w:hAnsi="宋体" w:cs="宋体"/>
                <w:szCs w:val="21"/>
              </w:rPr>
              <w:t xml:space="preserve"> 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400" w:lineRule="exact"/>
              <w:ind w:firstLine="210" w:firstLineChars="100"/>
              <w:rPr>
                <w:rFonts w:ascii="宋体"/>
                <w:szCs w:val="21"/>
              </w:rPr>
            </w:pPr>
            <w:r>
              <w:rPr>
                <w:rFonts w:hint="eastAsia" w:ascii="宋体" w:hAnsi="宋体"/>
                <w:szCs w:val="21"/>
              </w:rPr>
              <w:t>自体系建立以来，公司的管理体系运行全面展开，收到良好的效果，经评审认为本公司的质量管理体系的建立和运行是充分的、适宜的、有效的。已具备了认证审核的条件。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b/>
                <w:color w:val="000000"/>
                <w:sz w:val="20"/>
                <w:szCs w:val="20"/>
              </w:rPr>
            </w:pPr>
          </w:p>
          <w:p>
            <w:pPr>
              <w:spacing w:line="240" w:lineRule="exact"/>
              <w:ind w:firstLine="205" w:firstLineChars="98"/>
              <w:rPr>
                <w:rFonts w:hint="default" w:eastAsia="宋体"/>
                <w:b/>
                <w:color w:val="000000"/>
                <w:sz w:val="20"/>
                <w:szCs w:val="20"/>
                <w:lang w:val="en-US" w:eastAsia="zh-CN"/>
              </w:rPr>
            </w:pPr>
            <w:r>
              <w:rPr>
                <w:rFonts w:hint="eastAsia" w:ascii="宋体" w:hAnsi="宋体" w:cs="宋体"/>
                <w:sz w:val="21"/>
                <w:szCs w:val="21"/>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是，见附件：环评报告、环评批复、验收报告。</w:t>
            </w:r>
          </w:p>
          <w:p>
            <w:pPr>
              <w:spacing w:line="240" w:lineRule="exact"/>
              <w:rPr>
                <w:b/>
                <w:color w:val="000000"/>
                <w:sz w:val="20"/>
                <w:szCs w:val="20"/>
              </w:rPr>
            </w:pP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p>
          <w:p>
            <w:pPr>
              <w:spacing w:line="240" w:lineRule="exact"/>
              <w:ind w:firstLine="197" w:firstLineChars="98"/>
              <w:rPr>
                <w:b/>
                <w:color w:val="00000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pPr>
              <w:widowControl/>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rFonts w:hint="eastAsia" w:eastAsia="宋体"/>
                <w:color w:val="000000"/>
                <w:spacing w:val="-20"/>
                <w:sz w:val="20"/>
                <w:szCs w:val="20"/>
                <w:lang w:val="en-US" w:eastAsia="zh-CN"/>
              </w:rPr>
            </w:pPr>
            <w:r>
              <w:rPr>
                <w:b/>
                <w:color w:val="000000"/>
                <w:spacing w:val="-20"/>
                <w:sz w:val="20"/>
                <w:szCs w:val="20"/>
              </w:rPr>
              <w:t xml:space="preserve">     </w:t>
            </w:r>
            <w:r>
              <w:rPr>
                <w:rFonts w:hint="eastAsia"/>
                <w:b/>
                <w:color w:val="000000"/>
                <w:spacing w:val="-20"/>
                <w:sz w:val="20"/>
                <w:szCs w:val="20"/>
                <w:lang w:val="en-US" w:eastAsia="zh-CN"/>
              </w:rPr>
              <w:t>无</w:t>
            </w: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tbl>
      <w:tblPr>
        <w:tblStyle w:val="10"/>
        <w:tblpPr w:leftFromText="180" w:rightFromText="180" w:vertAnchor="text" w:horzAnchor="page" w:tblpX="1127" w:tblpY="176"/>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r>
              <w:rPr>
                <w:rFonts w:hint="eastAsia" w:ascii="宋体" w:hAnsi="宋体" w:cs="宋体"/>
                <w:bCs/>
                <w:szCs w:val="21"/>
              </w:rPr>
              <w:t>组织建立并实施的管理体系基本符合标准要求，可能存在的重要风险可以得到有效控制，没有出现过环境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default"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本次审核为远程审核，后续安排1人日进行现场核验审核。</w:t>
      </w:r>
    </w:p>
    <w:p>
      <w:pPr>
        <w:snapToGrid w:val="0"/>
        <w:spacing w:after="156" w:afterLines="50" w:line="360" w:lineRule="auto"/>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r>
        <w:rPr>
          <w:rFonts w:hint="eastAsia" w:eastAsia="宋体"/>
          <w:b/>
          <w:color w:val="000000" w:themeColor="text1"/>
          <w:sz w:val="26"/>
          <w:szCs w:val="26"/>
          <w:lang w:eastAsia="zh-CN"/>
        </w:rPr>
        <w:drawing>
          <wp:inline distT="0" distB="0" distL="114300" distR="114300">
            <wp:extent cx="871855" cy="734060"/>
            <wp:effectExtent l="0" t="0" r="4445" b="2540"/>
            <wp:docPr id="7" name="图片 7"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伍光华"/>
                    <pic:cNvPicPr>
                      <a:picLocks noChangeAspect="1"/>
                    </pic:cNvPicPr>
                  </pic:nvPicPr>
                  <pic:blipFill>
                    <a:blip r:embed="rId6"/>
                    <a:stretch>
                      <a:fillRect/>
                    </a:stretch>
                  </pic:blipFill>
                  <pic:spPr>
                    <a:xfrm>
                      <a:off x="0" y="0"/>
                      <a:ext cx="871855" cy="734060"/>
                    </a:xfrm>
                    <a:prstGeom prst="rect">
                      <a:avLst/>
                    </a:prstGeom>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rPr>
        <w:drawing>
          <wp:inline distT="0" distB="0" distL="114300" distR="114300">
            <wp:extent cx="822325" cy="692150"/>
            <wp:effectExtent l="0" t="0" r="3175" b="6350"/>
            <wp:docPr id="8" name="图片 8"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伍光华"/>
                    <pic:cNvPicPr>
                      <a:picLocks noChangeAspect="1"/>
                    </pic:cNvPicPr>
                  </pic:nvPicPr>
                  <pic:blipFill>
                    <a:blip r:embed="rId6"/>
                    <a:stretch>
                      <a:fillRect/>
                    </a:stretch>
                  </pic:blipFill>
                  <pic:spPr>
                    <a:xfrm>
                      <a:off x="0" y="0"/>
                      <a:ext cx="822325" cy="692150"/>
                    </a:xfrm>
                    <a:prstGeom prst="rect">
                      <a:avLst/>
                    </a:prstGeom>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 xml:space="preserve"> 3 </w:t>
      </w:r>
      <w:r>
        <w:rPr>
          <w:rFonts w:hint="eastAsia"/>
          <w:b/>
          <w:color w:val="000000" w:themeColor="text1"/>
          <w:szCs w:val="21"/>
        </w:rPr>
        <w:t>月</w:t>
      </w:r>
      <w:r>
        <w:rPr>
          <w:rFonts w:hint="eastAsia"/>
          <w:b/>
          <w:color w:val="000000" w:themeColor="text1"/>
          <w:szCs w:val="21"/>
          <w:lang w:val="en-US" w:eastAsia="zh-CN"/>
        </w:rPr>
        <w:t xml:space="preserve"> 23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2"/>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75744"/>
    <w:multiLevelType w:val="multilevel"/>
    <w:tmpl w:val="1A37574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74768B"/>
    <w:rsid w:val="705E6751"/>
    <w:rsid w:val="7DFF55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ody Text Indent"/>
    <w:basedOn w:val="1"/>
    <w:qFormat/>
    <w:uiPriority w:val="99"/>
    <w:pPr>
      <w:spacing w:after="120"/>
      <w:ind w:left="420" w:leftChars="200"/>
    </w:pPr>
    <w:rPr>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qFormat/>
    <w:uiPriority w:val="99"/>
    <w:pPr>
      <w:spacing w:after="0"/>
      <w:ind w:left="0" w:leftChars="0" w:firstLine="420" w:firstLineChars="200"/>
      <w:jc w:val="left"/>
    </w:pPr>
    <w:rPr>
      <w:rFonts w:ascii="宋体" w:hAnsi="宋体" w:eastAsia="仿宋_GB2312"/>
      <w:color w:val="000000"/>
      <w:sz w:val="28"/>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7</TotalTime>
  <ScaleCrop>false</ScaleCrop>
  <LinksUpToDate>false</LinksUpToDate>
  <CharactersWithSpaces>5143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2020-03-24T09:08:52Z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