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5080</wp:posOffset>
            </wp:positionV>
            <wp:extent cx="6570980" cy="7638415"/>
            <wp:effectExtent l="0" t="0" r="7620" b="6985"/>
            <wp:wrapNone/>
            <wp:docPr id="2" name="图片 2" descr="776bd4d88ed4218be2d079e1ae96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6bd4d88ed4218be2d079e1ae96c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763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福建省闽尚国意家具有限公司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0021-2020-E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连建忠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13850700892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u w:val="single"/>
                <w:lang w:eastAsia="zh-CN"/>
              </w:rPr>
              <w:t>段先高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教学家具、办公家具、酒店家具的销售及其所涉及场所的相关环境管理活动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29.08.07;29.10.05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2020年03月20日 上午至2020年03月20日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29.08.07,29.10.05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蔡燕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2020.3.15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2020.3.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8:00-8:30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402" w:firstLineChars="200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2020.3.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8:30-11:30</w:t>
            </w:r>
          </w:p>
        </w:tc>
        <w:tc>
          <w:tcPr>
            <w:tcW w:w="6665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体系覆盖产品及产品生产关键过程、特殊过程的识别和确认情况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环境因素的识别和评价程序合理性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适用的法律和其他要求的获取、识别程序实施情况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组织法律法规的遵循情况 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left="598" w:leftChars="0" w:hanging="420" w:firstLineChars="0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视频巡查现场，特种设备查看，识别二阶段审核的资源配置情况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方针的制定与贯彻情况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组织的目标、指标和管理方案合理性及实施情况 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内审和管理评审的实施情况 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left="598" w:leftChars="0" w:hanging="420" w:firstLineChars="0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管理体系文件审核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2020.3.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2833700A"/>
    <w:multiLevelType w:val="multilevel"/>
    <w:tmpl w:val="2833700A"/>
    <w:lvl w:ilvl="0" w:tentative="0">
      <w:start w:val="1"/>
      <w:numFmt w:val="decimal"/>
      <w:lvlText w:val="%1)"/>
      <w:lvlJc w:val="left"/>
      <w:pPr>
        <w:ind w:left="598" w:hanging="420"/>
      </w:pPr>
    </w:lvl>
    <w:lvl w:ilvl="1" w:tentative="0">
      <w:start w:val="1"/>
      <w:numFmt w:val="lowerLetter"/>
      <w:lvlText w:val="%2)"/>
      <w:lvlJc w:val="left"/>
      <w:pPr>
        <w:ind w:left="1018" w:hanging="420"/>
      </w:pPr>
    </w:lvl>
    <w:lvl w:ilvl="2" w:tentative="0">
      <w:start w:val="1"/>
      <w:numFmt w:val="lowerRoman"/>
      <w:lvlText w:val="%3."/>
      <w:lvlJc w:val="right"/>
      <w:pPr>
        <w:ind w:left="1438" w:hanging="420"/>
      </w:pPr>
    </w:lvl>
    <w:lvl w:ilvl="3" w:tentative="0">
      <w:start w:val="1"/>
      <w:numFmt w:val="decimal"/>
      <w:lvlText w:val="%4."/>
      <w:lvlJc w:val="left"/>
      <w:pPr>
        <w:ind w:left="1858" w:hanging="420"/>
      </w:pPr>
    </w:lvl>
    <w:lvl w:ilvl="4" w:tentative="0">
      <w:start w:val="1"/>
      <w:numFmt w:val="lowerLetter"/>
      <w:lvlText w:val="%5)"/>
      <w:lvlJc w:val="left"/>
      <w:pPr>
        <w:ind w:left="2278" w:hanging="420"/>
      </w:pPr>
    </w:lvl>
    <w:lvl w:ilvl="5" w:tentative="0">
      <w:start w:val="1"/>
      <w:numFmt w:val="lowerRoman"/>
      <w:lvlText w:val="%6."/>
      <w:lvlJc w:val="right"/>
      <w:pPr>
        <w:ind w:left="2698" w:hanging="420"/>
      </w:pPr>
    </w:lvl>
    <w:lvl w:ilvl="6" w:tentative="0">
      <w:start w:val="1"/>
      <w:numFmt w:val="decimal"/>
      <w:lvlText w:val="%7."/>
      <w:lvlJc w:val="left"/>
      <w:pPr>
        <w:ind w:left="3118" w:hanging="420"/>
      </w:pPr>
    </w:lvl>
    <w:lvl w:ilvl="7" w:tentative="0">
      <w:start w:val="1"/>
      <w:numFmt w:val="lowerLetter"/>
      <w:lvlText w:val="%8)"/>
      <w:lvlJc w:val="left"/>
      <w:pPr>
        <w:ind w:left="3538" w:hanging="420"/>
      </w:pPr>
    </w:lvl>
    <w:lvl w:ilvl="8" w:tentative="0">
      <w:start w:val="1"/>
      <w:numFmt w:val="lowerRoman"/>
      <w:lvlText w:val="%9."/>
      <w:lvlJc w:val="right"/>
      <w:pPr>
        <w:ind w:left="3958" w:hanging="420"/>
      </w:pPr>
    </w:lvl>
  </w:abstractNum>
  <w:abstractNum w:abstractNumId="2">
    <w:nsid w:val="711D3461"/>
    <w:multiLevelType w:val="multilevel"/>
    <w:tmpl w:val="711D3461"/>
    <w:lvl w:ilvl="0" w:tentative="0">
      <w:start w:val="1"/>
      <w:numFmt w:val="decimal"/>
      <w:lvlText w:val="%1)"/>
      <w:lvlJc w:val="left"/>
      <w:pPr>
        <w:ind w:left="598" w:hanging="420"/>
      </w:pPr>
    </w:lvl>
    <w:lvl w:ilvl="1" w:tentative="0">
      <w:start w:val="1"/>
      <w:numFmt w:val="lowerLetter"/>
      <w:lvlText w:val="%2)"/>
      <w:lvlJc w:val="left"/>
      <w:pPr>
        <w:ind w:left="1018" w:hanging="420"/>
      </w:pPr>
    </w:lvl>
    <w:lvl w:ilvl="2" w:tentative="0">
      <w:start w:val="1"/>
      <w:numFmt w:val="lowerRoman"/>
      <w:lvlText w:val="%3."/>
      <w:lvlJc w:val="right"/>
      <w:pPr>
        <w:ind w:left="1438" w:hanging="420"/>
      </w:pPr>
    </w:lvl>
    <w:lvl w:ilvl="3" w:tentative="0">
      <w:start w:val="1"/>
      <w:numFmt w:val="decimal"/>
      <w:lvlText w:val="%4."/>
      <w:lvlJc w:val="left"/>
      <w:pPr>
        <w:ind w:left="1858" w:hanging="420"/>
      </w:pPr>
    </w:lvl>
    <w:lvl w:ilvl="4" w:tentative="0">
      <w:start w:val="1"/>
      <w:numFmt w:val="lowerLetter"/>
      <w:lvlText w:val="%5)"/>
      <w:lvlJc w:val="left"/>
      <w:pPr>
        <w:ind w:left="2278" w:hanging="420"/>
      </w:pPr>
    </w:lvl>
    <w:lvl w:ilvl="5" w:tentative="0">
      <w:start w:val="1"/>
      <w:numFmt w:val="lowerRoman"/>
      <w:lvlText w:val="%6."/>
      <w:lvlJc w:val="right"/>
      <w:pPr>
        <w:ind w:left="2698" w:hanging="420"/>
      </w:pPr>
    </w:lvl>
    <w:lvl w:ilvl="6" w:tentative="0">
      <w:start w:val="1"/>
      <w:numFmt w:val="decimal"/>
      <w:lvlText w:val="%7."/>
      <w:lvlJc w:val="left"/>
      <w:pPr>
        <w:ind w:left="3118" w:hanging="420"/>
      </w:pPr>
    </w:lvl>
    <w:lvl w:ilvl="7" w:tentative="0">
      <w:start w:val="1"/>
      <w:numFmt w:val="lowerLetter"/>
      <w:lvlText w:val="%8)"/>
      <w:lvlJc w:val="left"/>
      <w:pPr>
        <w:ind w:left="3538" w:hanging="420"/>
      </w:pPr>
    </w:lvl>
    <w:lvl w:ilvl="8" w:tentative="0">
      <w:start w:val="1"/>
      <w:numFmt w:val="lowerRoman"/>
      <w:lvlText w:val="%9."/>
      <w:lvlJc w:val="right"/>
      <w:pPr>
        <w:ind w:left="395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C24153"/>
    <w:rsid w:val="481E399D"/>
    <w:rsid w:val="72756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2020-03-27T01:59:01Z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