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rPr>
          <w:rFonts w:asciiTheme="minorEastAsia" w:hAnsiTheme="minorEastAsia" w:eastAsiaTheme="minorEastAsia"/>
          <w:sz w:val="21"/>
          <w:szCs w:val="21"/>
        </w:rPr>
      </w:pPr>
    </w:p>
    <w:p>
      <w:pPr>
        <w:spacing w:line="480" w:lineRule="exact"/>
        <w:jc w:val="center"/>
        <w:rPr>
          <w:rFonts w:ascii="楷体" w:hAnsi="楷体" w:eastAsia="楷体"/>
          <w:b/>
          <w:bCs/>
          <w:sz w:val="44"/>
          <w:szCs w:val="44"/>
        </w:rPr>
      </w:pPr>
      <w:r>
        <w:rPr>
          <w:rFonts w:hint="eastAsia" w:ascii="楷体" w:hAnsi="楷体" w:eastAsia="楷体"/>
          <w:b/>
          <w:bCs/>
          <w:sz w:val="44"/>
          <w:szCs w:val="44"/>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asciiTheme="minorEastAsia" w:hAnsiTheme="minorEastAsia" w:eastAsiaTheme="minorEastAsia"/>
                <w:szCs w:val="21"/>
              </w:rPr>
            </w:pPr>
            <w:r>
              <w:rPr>
                <w:rFonts w:hint="eastAsia" w:asciiTheme="minorEastAsia" w:hAnsiTheme="minorEastAsia" w:eastAsiaTheme="minorEastAsia"/>
                <w:szCs w:val="21"/>
              </w:rPr>
              <w:t>过程与活动、</w:t>
            </w:r>
          </w:p>
          <w:p>
            <w:pPr>
              <w:jc w:val="center"/>
              <w:rPr>
                <w:rFonts w:asciiTheme="minorEastAsia" w:hAnsiTheme="minorEastAsia" w:eastAsiaTheme="minorEastAsia"/>
                <w:szCs w:val="21"/>
              </w:rPr>
            </w:pPr>
            <w:r>
              <w:rPr>
                <w:rFonts w:hint="eastAsia" w:asciiTheme="minorEastAsia" w:hAnsiTheme="minorEastAsia" w:eastAsiaTheme="minorEastAsia"/>
                <w:szCs w:val="21"/>
              </w:rPr>
              <w:t>抽样计划</w:t>
            </w:r>
          </w:p>
        </w:tc>
        <w:tc>
          <w:tcPr>
            <w:tcW w:w="960" w:type="dxa"/>
            <w:vMerge w:val="restart"/>
            <w:vAlign w:val="center"/>
          </w:tcPr>
          <w:p>
            <w:pPr>
              <w:jc w:val="left"/>
              <w:rPr>
                <w:rFonts w:asciiTheme="minorEastAsia" w:hAnsiTheme="minorEastAsia" w:eastAsiaTheme="minorEastAsia"/>
                <w:szCs w:val="21"/>
              </w:rPr>
            </w:pPr>
            <w:r>
              <w:rPr>
                <w:rFonts w:hint="eastAsia" w:asciiTheme="minorEastAsia" w:hAnsiTheme="minorEastAsia" w:eastAsiaTheme="minorEastAsia"/>
                <w:szCs w:val="21"/>
              </w:rPr>
              <w:t>涉及</w:t>
            </w:r>
          </w:p>
          <w:p>
            <w:pPr>
              <w:jc w:val="left"/>
              <w:rPr>
                <w:rFonts w:asciiTheme="minorEastAsia" w:hAnsiTheme="minorEastAsia" w:eastAsiaTheme="minorEastAsia"/>
                <w:szCs w:val="21"/>
              </w:rPr>
            </w:pPr>
            <w:r>
              <w:rPr>
                <w:rFonts w:hint="eastAsia" w:asciiTheme="minorEastAsia" w:hAnsiTheme="minorEastAsia" w:eastAsiaTheme="minorEastAsia"/>
                <w:szCs w:val="21"/>
              </w:rPr>
              <w:t>条款</w:t>
            </w:r>
          </w:p>
        </w:tc>
        <w:tc>
          <w:tcPr>
            <w:tcW w:w="10004" w:type="dxa"/>
            <w:vAlign w:val="center"/>
          </w:tcPr>
          <w:p>
            <w:pPr>
              <w:jc w:val="left"/>
              <w:rPr>
                <w:rFonts w:hint="default" w:asciiTheme="minorEastAsia" w:hAnsiTheme="minorEastAsia" w:eastAsiaTheme="minorEastAsia"/>
                <w:szCs w:val="21"/>
                <w:lang w:val="en-US" w:eastAsia="zh-CN"/>
              </w:rPr>
            </w:pPr>
            <w:r>
              <w:rPr>
                <w:rFonts w:hint="eastAsia" w:asciiTheme="minorEastAsia" w:hAnsiTheme="minorEastAsia" w:eastAsiaTheme="minorEastAsia"/>
                <w:szCs w:val="21"/>
              </w:rPr>
              <w:t>受审核部门：</w:t>
            </w:r>
            <w:r>
              <w:rPr>
                <w:rFonts w:hint="eastAsia" w:asciiTheme="minorEastAsia" w:hAnsiTheme="minorEastAsia" w:eastAsiaTheme="minorEastAsia"/>
                <w:szCs w:val="21"/>
                <w:lang w:eastAsia="zh-CN"/>
              </w:rPr>
              <w:t>综合部</w:t>
            </w: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主管领导：</w:t>
            </w:r>
            <w:bookmarkStart w:id="4" w:name="_GoBack"/>
            <w:r>
              <w:rPr>
                <w:rFonts w:hint="eastAsia"/>
                <w:sz w:val="22"/>
              </w:rPr>
              <w:t>洪刚</w:t>
            </w:r>
            <w:bookmarkEnd w:id="4"/>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陪同人员：</w:t>
            </w:r>
            <w:r>
              <w:rPr>
                <w:rFonts w:hint="eastAsia" w:asciiTheme="minorEastAsia" w:hAnsiTheme="minorEastAsia" w:eastAsiaTheme="minorEastAsia"/>
                <w:szCs w:val="21"/>
                <w:lang w:val="en-US" w:eastAsia="zh-CN"/>
              </w:rPr>
              <w:t xml:space="preserve"> 卢慧</w:t>
            </w:r>
          </w:p>
        </w:tc>
        <w:tc>
          <w:tcPr>
            <w:tcW w:w="1585" w:type="dxa"/>
            <w:vMerge w:val="restart"/>
            <w:vAlign w:val="center"/>
          </w:tcPr>
          <w:p>
            <w:pPr>
              <w:rPr>
                <w:rFonts w:asciiTheme="minorEastAsia" w:hAnsiTheme="minorEastAsia" w:eastAsiaTheme="minorEastAsia"/>
                <w:szCs w:val="21"/>
              </w:rPr>
            </w:pPr>
            <w:r>
              <w:rPr>
                <w:rFonts w:hint="eastAsia" w:asciiTheme="minorEastAsia" w:hAnsiTheme="minorEastAsia" w:eastAsiaTheme="minorEastAsia"/>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asciiTheme="minorEastAsia" w:hAnsiTheme="minorEastAsia" w:eastAsiaTheme="minorEastAsia"/>
                <w:szCs w:val="21"/>
              </w:rPr>
            </w:pPr>
          </w:p>
        </w:tc>
        <w:tc>
          <w:tcPr>
            <w:tcW w:w="960" w:type="dxa"/>
            <w:vMerge w:val="continue"/>
            <w:vAlign w:val="center"/>
          </w:tcPr>
          <w:p>
            <w:pPr>
              <w:jc w:val="left"/>
              <w:rPr>
                <w:rFonts w:asciiTheme="minorEastAsia" w:hAnsiTheme="minorEastAsia" w:eastAsiaTheme="minorEastAsia"/>
                <w:szCs w:val="21"/>
              </w:rPr>
            </w:pPr>
          </w:p>
        </w:tc>
        <w:tc>
          <w:tcPr>
            <w:tcW w:w="10004" w:type="dxa"/>
            <w:vAlign w:val="center"/>
          </w:tcPr>
          <w:p>
            <w:pPr>
              <w:snapToGrid w:val="0"/>
              <w:spacing w:line="320" w:lineRule="exact"/>
              <w:jc w:val="left"/>
              <w:rPr>
                <w:rFonts w:hint="default" w:asciiTheme="minorEastAsia" w:hAnsiTheme="minorEastAsia" w:eastAsiaTheme="minorEastAsia"/>
                <w:b/>
                <w:bCs/>
                <w:szCs w:val="21"/>
                <w:lang w:val="en-US" w:eastAsia="zh-CN"/>
              </w:rPr>
            </w:pPr>
            <w:r>
              <w:rPr>
                <w:rFonts w:hint="eastAsia" w:asciiTheme="minorEastAsia" w:hAnsiTheme="minorEastAsia" w:eastAsiaTheme="minorEastAsia"/>
                <w:szCs w:val="21"/>
              </w:rPr>
              <w:t>审核员：</w:t>
            </w:r>
            <w:r>
              <w:rPr>
                <w:rFonts w:hint="eastAsia" w:asciiTheme="minorEastAsia" w:hAnsiTheme="minorEastAsia" w:eastAsiaTheme="minorEastAsia"/>
                <w:szCs w:val="21"/>
                <w:lang w:val="en-US" w:eastAsia="zh-CN"/>
              </w:rPr>
              <w:t>郝本东</w:t>
            </w:r>
            <w:r>
              <w:rPr>
                <w:rFonts w:hint="eastAsia" w:asciiTheme="minorEastAsia" w:hAnsiTheme="minorEastAsia" w:eastAsiaTheme="minorEastAsia"/>
                <w:szCs w:val="21"/>
              </w:rPr>
              <w:t xml:space="preserve">       审核时间：</w:t>
            </w:r>
            <w:r>
              <w:rPr>
                <w:rFonts w:hint="eastAsia" w:asciiTheme="minorEastAsia" w:hAnsiTheme="minorEastAsia" w:eastAsiaTheme="minorEastAsia"/>
                <w:szCs w:val="21"/>
                <w:lang w:val="en-US" w:eastAsia="zh-CN"/>
              </w:rPr>
              <w:t>2020.3.19</w:t>
            </w:r>
          </w:p>
        </w:tc>
        <w:tc>
          <w:tcPr>
            <w:tcW w:w="1585" w:type="dxa"/>
            <w:vMerge w:val="continue"/>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asciiTheme="minorEastAsia" w:hAnsiTheme="minorEastAsia" w:eastAsiaTheme="minorEastAsia"/>
                <w:szCs w:val="21"/>
              </w:rPr>
            </w:pPr>
          </w:p>
        </w:tc>
        <w:tc>
          <w:tcPr>
            <w:tcW w:w="960" w:type="dxa"/>
            <w:vMerge w:val="continue"/>
            <w:vAlign w:val="center"/>
          </w:tcPr>
          <w:p>
            <w:pPr>
              <w:jc w:val="left"/>
              <w:rPr>
                <w:rFonts w:asciiTheme="minorEastAsia" w:hAnsiTheme="minorEastAsia" w:eastAsiaTheme="minorEastAsia"/>
                <w:szCs w:val="21"/>
              </w:rPr>
            </w:pPr>
          </w:p>
        </w:tc>
        <w:tc>
          <w:tcPr>
            <w:tcW w:w="10004" w:type="dxa"/>
            <w:vAlign w:val="center"/>
          </w:tcPr>
          <w:p>
            <w:pPr>
              <w:spacing w:line="300" w:lineRule="exact"/>
              <w:jc w:val="left"/>
            </w:pPr>
            <w:r>
              <w:rPr>
                <w:rFonts w:hint="eastAsia"/>
              </w:rPr>
              <w:t>审核条款：Q:5.3/6.1</w:t>
            </w:r>
            <w:r>
              <w:rPr>
                <w:rFonts w:hint="eastAsia"/>
                <w:lang w:val="en-US" w:eastAsia="zh-CN"/>
              </w:rPr>
              <w:t>/</w:t>
            </w:r>
            <w:r>
              <w:rPr>
                <w:rFonts w:hint="eastAsia"/>
              </w:rPr>
              <w:t xml:space="preserve">6.2/7.1.2/7.1.6/7.2-7.3/7.4/7.5/9.1.3/9.2/10.2 </w:t>
            </w:r>
          </w:p>
          <w:p>
            <w:pPr>
              <w:jc w:val="left"/>
            </w:pPr>
            <w:r>
              <w:rPr>
                <w:rFonts w:hint="eastAsia"/>
              </w:rPr>
              <w:t>E:5.3/6.2/6.1.1/6.1.2/6.1.</w:t>
            </w:r>
            <w:r>
              <w:rPr>
                <w:rFonts w:hint="eastAsia"/>
                <w:color w:val="auto"/>
              </w:rPr>
              <w:t>3/</w:t>
            </w:r>
            <w:r>
              <w:rPr>
                <w:rFonts w:hint="eastAsia"/>
                <w:color w:val="auto"/>
                <w:lang w:val="en-US" w:eastAsia="zh-CN"/>
              </w:rPr>
              <w:t>6.1.4/</w:t>
            </w:r>
            <w:r>
              <w:rPr>
                <w:rFonts w:hint="eastAsia"/>
                <w:color w:val="auto"/>
              </w:rPr>
              <w:t>7</w:t>
            </w:r>
            <w:r>
              <w:rPr>
                <w:rFonts w:hint="eastAsia"/>
              </w:rPr>
              <w:t>.1/7.2/7.3/7.4/7.5/8.1/8.2/</w:t>
            </w:r>
            <w:r>
              <w:rPr>
                <w:rFonts w:hint="eastAsia"/>
                <w:highlight w:val="none"/>
              </w:rPr>
              <w:t>9.1/9.2/1</w:t>
            </w:r>
            <w:r>
              <w:rPr>
                <w:rFonts w:hint="eastAsia"/>
              </w:rPr>
              <w:t>0.2；</w:t>
            </w:r>
          </w:p>
        </w:tc>
        <w:tc>
          <w:tcPr>
            <w:tcW w:w="1585" w:type="dxa"/>
            <w:vMerge w:val="continue"/>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2160" w:type="dxa"/>
          </w:tcPr>
          <w:p>
            <w:pPr>
              <w:adjustRightInd w:val="0"/>
              <w:snapToGrid w:val="0"/>
              <w:rPr>
                <w:rFonts w:cs="新宋体" w:asciiTheme="minorEastAsia" w:hAnsiTheme="minorEastAsia" w:eastAsiaTheme="minorEastAsia"/>
                <w:szCs w:val="21"/>
              </w:rPr>
            </w:pPr>
            <w:r>
              <w:rPr>
                <w:rFonts w:hint="eastAsia" w:cs="新宋体" w:asciiTheme="minorEastAsia" w:hAnsiTheme="minorEastAsia" w:eastAsiaTheme="minorEastAsia"/>
                <w:szCs w:val="21"/>
              </w:rPr>
              <w:t>组织的角色、职责和权限</w:t>
            </w:r>
          </w:p>
          <w:p>
            <w:pPr>
              <w:adjustRightInd w:val="0"/>
              <w:snapToGrid w:val="0"/>
              <w:rPr>
                <w:rFonts w:cs="新宋体" w:asciiTheme="minorEastAsia" w:hAnsiTheme="minorEastAsia" w:eastAsiaTheme="minorEastAsia"/>
                <w:szCs w:val="21"/>
              </w:rPr>
            </w:pPr>
          </w:p>
        </w:tc>
        <w:tc>
          <w:tcPr>
            <w:tcW w:w="960" w:type="dxa"/>
          </w:tcPr>
          <w:p>
            <w:pPr>
              <w:tabs>
                <w:tab w:val="center" w:pos="3169"/>
              </w:tabs>
              <w:spacing w:line="400" w:lineRule="exact"/>
              <w:rPr>
                <w:rFonts w:cs="新宋体" w:asciiTheme="minorEastAsia" w:hAnsiTheme="minorEastAsia" w:eastAsiaTheme="minorEastAsia"/>
                <w:szCs w:val="21"/>
              </w:rPr>
            </w:pPr>
            <w:r>
              <w:rPr>
                <w:rFonts w:hint="eastAsia" w:cs="宋体" w:asciiTheme="minorEastAsia" w:hAnsiTheme="minorEastAsia" w:eastAsiaTheme="minorEastAsia"/>
                <w:szCs w:val="21"/>
              </w:rPr>
              <w:t xml:space="preserve">QE5.3 </w:t>
            </w:r>
          </w:p>
        </w:tc>
        <w:tc>
          <w:tcPr>
            <w:tcW w:w="10004" w:type="dxa"/>
          </w:tcPr>
          <w:p>
            <w:pPr>
              <w:pStyle w:val="26"/>
              <w:spacing w:line="320" w:lineRule="exact"/>
              <w:rPr>
                <w:rFonts w:hint="eastAsia" w:ascii="宋体" w:hAnsi="宋体"/>
                <w:color w:val="000000"/>
                <w:szCs w:val="21"/>
              </w:rPr>
            </w:pPr>
            <w:r>
              <w:rPr>
                <w:rFonts w:hint="eastAsia" w:ascii="宋体" w:hAnsi="宋体"/>
                <w:color w:val="000000"/>
                <w:szCs w:val="21"/>
              </w:rPr>
              <w:t>综合部负责人：</w:t>
            </w:r>
            <w:r>
              <w:rPr>
                <w:rFonts w:hint="eastAsia"/>
                <w:sz w:val="22"/>
              </w:rPr>
              <w:t>洪刚</w:t>
            </w:r>
            <w:r>
              <w:rPr>
                <w:rFonts w:hint="eastAsia" w:ascii="宋体" w:hAnsi="宋体"/>
                <w:color w:val="000000"/>
                <w:szCs w:val="21"/>
              </w:rPr>
              <w:t>，本部门工作内容和职责，主要负责：文件和记录控制、人力资源管理、员工培训和等；</w:t>
            </w:r>
          </w:p>
          <w:p>
            <w:pPr>
              <w:pStyle w:val="26"/>
              <w:spacing w:line="320" w:lineRule="exact"/>
              <w:rPr>
                <w:rFonts w:cs="宋体" w:asciiTheme="minorEastAsia" w:hAnsiTheme="minorEastAsia" w:eastAsiaTheme="minorEastAsia"/>
                <w:szCs w:val="21"/>
              </w:rPr>
            </w:pPr>
            <w:r>
              <w:rPr>
                <w:rFonts w:hint="eastAsia" w:ascii="宋体" w:hAnsi="宋体"/>
                <w:color w:val="000000"/>
                <w:szCs w:val="21"/>
              </w:rPr>
              <w:t>质量和环境管理体系主管部门所涉及的相关工作。</w:t>
            </w:r>
            <w:r>
              <w:rPr>
                <w:rFonts w:hint="eastAsia" w:cs="宋体" w:asciiTheme="minorEastAsia" w:hAnsiTheme="minorEastAsia" w:eastAsiaTheme="minorEastAsia"/>
                <w:szCs w:val="21"/>
                <w:lang w:eastAsia="zh-CN"/>
              </w:rPr>
              <w:t>综合部</w:t>
            </w:r>
            <w:r>
              <w:rPr>
                <w:rFonts w:hint="eastAsia" w:cs="宋体" w:asciiTheme="minorEastAsia" w:hAnsiTheme="minorEastAsia" w:eastAsiaTheme="minorEastAsia"/>
                <w:szCs w:val="21"/>
              </w:rPr>
              <w:t>负责人能基本阐述本部门的主要职责。</w:t>
            </w:r>
          </w:p>
        </w:tc>
        <w:tc>
          <w:tcPr>
            <w:tcW w:w="1585" w:type="dxa"/>
          </w:tcPr>
          <w:p>
            <w:pPr>
              <w:rPr>
                <w:rFonts w:hint="eastAsia" w:asciiTheme="minorEastAsia" w:hAnsiTheme="minorEastAsia" w:eastAsiaTheme="minorEastAsia"/>
                <w:szCs w:val="21"/>
                <w:lang w:eastAsia="zh-CN"/>
              </w:rPr>
            </w:pPr>
            <w:r>
              <w:rPr>
                <w:rFonts w:hint="eastAsia" w:asciiTheme="minorEastAsia" w:hAnsiTheme="minorEastAsia" w:eastAsiaTheme="minor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60" w:type="dxa"/>
          </w:tcPr>
          <w:p>
            <w:pPr>
              <w:rPr>
                <w:rFonts w:asciiTheme="minorEastAsia" w:hAnsiTheme="minorEastAsia" w:eastAsiaTheme="minorEastAsia"/>
                <w:b/>
                <w:szCs w:val="21"/>
              </w:rPr>
            </w:pPr>
            <w:r>
              <w:rPr>
                <w:rFonts w:hint="eastAsia" w:cs="宋体" w:asciiTheme="minorEastAsia" w:hAnsiTheme="minorEastAsia" w:eastAsiaTheme="minorEastAsia"/>
                <w:szCs w:val="21"/>
              </w:rPr>
              <w:t>目标及其实现的策划</w:t>
            </w:r>
          </w:p>
        </w:tc>
        <w:tc>
          <w:tcPr>
            <w:tcW w:w="960" w:type="dxa"/>
          </w:tcPr>
          <w:p>
            <w:pPr>
              <w:tabs>
                <w:tab w:val="center" w:pos="3169"/>
              </w:tabs>
              <w:spacing w:line="400" w:lineRule="exact"/>
              <w:rPr>
                <w:rFonts w:cs="宋体" w:asciiTheme="minorEastAsia" w:hAnsiTheme="minorEastAsia" w:eastAsiaTheme="minorEastAsia"/>
                <w:szCs w:val="21"/>
              </w:rPr>
            </w:pPr>
            <w:r>
              <w:rPr>
                <w:rFonts w:hint="eastAsia" w:cs="宋体" w:asciiTheme="minorEastAsia" w:hAnsiTheme="minorEastAsia" w:eastAsiaTheme="minorEastAsia"/>
                <w:szCs w:val="21"/>
              </w:rPr>
              <w:t>QE6.2</w:t>
            </w:r>
          </w:p>
          <w:p>
            <w:pPr>
              <w:rPr>
                <w:rFonts w:cs="新宋体" w:asciiTheme="minorEastAsia" w:hAnsiTheme="minorEastAsia" w:eastAsiaTheme="minorEastAsia"/>
                <w:szCs w:val="21"/>
              </w:rPr>
            </w:pPr>
          </w:p>
        </w:tc>
        <w:tc>
          <w:tcPr>
            <w:tcW w:w="10004" w:type="dxa"/>
          </w:tcPr>
          <w:p>
            <w:pPr>
              <w:rPr>
                <w:rFonts w:hint="eastAsia" w:cs="宋体" w:asciiTheme="minorEastAsia" w:hAnsiTheme="minorEastAsia" w:eastAsiaTheme="minorEastAsia"/>
                <w:szCs w:val="21"/>
              </w:rPr>
            </w:pPr>
            <w:r>
              <w:rPr>
                <w:rFonts w:hint="eastAsia" w:cs="宋体" w:asciiTheme="minorEastAsia" w:hAnsiTheme="minorEastAsia" w:eastAsiaTheme="minorEastAsia"/>
                <w:szCs w:val="21"/>
                <w:lang w:eastAsia="zh-CN"/>
              </w:rPr>
              <w:t>综合部</w:t>
            </w:r>
            <w:r>
              <w:rPr>
                <w:rFonts w:hint="eastAsia" w:cs="宋体" w:asciiTheme="minorEastAsia" w:hAnsiTheme="minorEastAsia" w:eastAsiaTheme="minorEastAsia"/>
                <w:szCs w:val="21"/>
              </w:rPr>
              <w:t xml:space="preserve">的目标是：           </w:t>
            </w:r>
          </w:p>
          <w:p>
            <w:pPr>
              <w:rPr>
                <w:rFonts w:hint="eastAsia" w:cs="宋体" w:asciiTheme="minorEastAsia" w:hAnsiTheme="minorEastAsia" w:eastAsiaTheme="minorEastAsia"/>
                <w:szCs w:val="21"/>
                <w:lang w:eastAsia="zh-CN"/>
              </w:rPr>
            </w:pPr>
            <w:r>
              <w:rPr>
                <w:rFonts w:hint="eastAsia" w:cs="宋体" w:asciiTheme="minorEastAsia" w:hAnsiTheme="minorEastAsia" w:eastAsiaTheme="minorEastAsia"/>
                <w:szCs w:val="21"/>
              </w:rPr>
              <w:t>文件受控率100%</w:t>
            </w:r>
            <w:r>
              <w:rPr>
                <w:rFonts w:hint="eastAsia" w:cs="宋体" w:asciiTheme="minorEastAsia" w:hAnsiTheme="minorEastAsia" w:eastAsiaTheme="minorEastAsia"/>
                <w:szCs w:val="21"/>
                <w:lang w:eastAsia="zh-CN"/>
              </w:rPr>
              <w:t>，</w:t>
            </w:r>
            <w:r>
              <w:rPr>
                <w:rFonts w:hint="eastAsia" w:cs="宋体" w:asciiTheme="minorEastAsia" w:hAnsiTheme="minorEastAsia" w:eastAsiaTheme="minorEastAsia"/>
                <w:szCs w:val="21"/>
                <w:lang w:val="en-US" w:eastAsia="zh-CN"/>
              </w:rPr>
              <w:t>完成</w:t>
            </w:r>
            <w:r>
              <w:rPr>
                <w:rFonts w:hint="eastAsia" w:cs="宋体" w:asciiTheme="minorEastAsia" w:hAnsiTheme="minorEastAsia" w:eastAsiaTheme="minorEastAsia"/>
                <w:szCs w:val="21"/>
              </w:rPr>
              <w:t>100%</w:t>
            </w:r>
          </w:p>
          <w:p>
            <w:pPr>
              <w:rPr>
                <w:rFonts w:hint="eastAsia" w:cs="宋体" w:asciiTheme="minorEastAsia" w:hAnsiTheme="minorEastAsia" w:eastAsiaTheme="minorEastAsia"/>
                <w:szCs w:val="21"/>
              </w:rPr>
            </w:pPr>
            <w:r>
              <w:rPr>
                <w:rFonts w:hint="eastAsia" w:cs="宋体" w:asciiTheme="minorEastAsia" w:hAnsiTheme="minorEastAsia" w:eastAsiaTheme="minorEastAsia"/>
                <w:szCs w:val="21"/>
              </w:rPr>
              <w:t xml:space="preserve">新员工上岗培训合格率达到100%   </w:t>
            </w:r>
            <w:r>
              <w:rPr>
                <w:rFonts w:hint="eastAsia" w:cs="宋体" w:asciiTheme="minorEastAsia" w:hAnsiTheme="minorEastAsia" w:eastAsiaTheme="minorEastAsia"/>
                <w:szCs w:val="21"/>
                <w:lang w:val="en-US" w:eastAsia="zh-CN"/>
              </w:rPr>
              <w:t>完成</w:t>
            </w:r>
            <w:r>
              <w:rPr>
                <w:rFonts w:hint="eastAsia" w:cs="宋体" w:asciiTheme="minorEastAsia" w:hAnsiTheme="minorEastAsia" w:eastAsiaTheme="minorEastAsia"/>
                <w:szCs w:val="21"/>
              </w:rPr>
              <w:t xml:space="preserve">100%               </w:t>
            </w:r>
          </w:p>
          <w:p>
            <w:pPr>
              <w:rPr>
                <w:rFonts w:hint="eastAsia" w:cs="宋体" w:asciiTheme="minorEastAsia" w:hAnsiTheme="minorEastAsia" w:eastAsiaTheme="minorEastAsia"/>
                <w:szCs w:val="21"/>
              </w:rPr>
            </w:pPr>
            <w:r>
              <w:rPr>
                <w:rFonts w:hint="eastAsia" w:cs="宋体" w:asciiTheme="minorEastAsia" w:hAnsiTheme="minorEastAsia" w:eastAsiaTheme="minorEastAsia"/>
                <w:szCs w:val="21"/>
              </w:rPr>
              <w:t>合格供方评审率100％</w:t>
            </w:r>
            <w:r>
              <w:rPr>
                <w:rFonts w:hint="eastAsia" w:cs="宋体" w:asciiTheme="minorEastAsia" w:hAnsiTheme="minorEastAsia" w:eastAsiaTheme="minorEastAsia"/>
                <w:szCs w:val="21"/>
                <w:lang w:eastAsia="zh-CN"/>
              </w:rPr>
              <w:t>，</w:t>
            </w:r>
            <w:r>
              <w:rPr>
                <w:rFonts w:hint="eastAsia" w:cs="宋体" w:asciiTheme="minorEastAsia" w:hAnsiTheme="minorEastAsia" w:eastAsiaTheme="minorEastAsia"/>
                <w:szCs w:val="21"/>
                <w:lang w:val="en-US" w:eastAsia="zh-CN"/>
              </w:rPr>
              <w:t>完成</w:t>
            </w:r>
            <w:r>
              <w:rPr>
                <w:rFonts w:hint="eastAsia" w:cs="宋体" w:asciiTheme="minorEastAsia" w:hAnsiTheme="minorEastAsia" w:eastAsiaTheme="minorEastAsia"/>
                <w:szCs w:val="21"/>
              </w:rPr>
              <w:t>100%</w:t>
            </w:r>
          </w:p>
          <w:p>
            <w:pPr>
              <w:rPr>
                <w:rFonts w:hint="eastAsia" w:cs="宋体" w:asciiTheme="minorEastAsia" w:hAnsiTheme="minorEastAsia" w:eastAsiaTheme="minorEastAsia"/>
                <w:szCs w:val="21"/>
              </w:rPr>
            </w:pPr>
            <w:r>
              <w:rPr>
                <w:rFonts w:hint="eastAsia" w:cs="宋体" w:asciiTheme="minorEastAsia" w:hAnsiTheme="minorEastAsia" w:eastAsiaTheme="minorEastAsia"/>
                <w:szCs w:val="21"/>
              </w:rPr>
              <w:t>固废分类收集处置率100%</w:t>
            </w:r>
            <w:r>
              <w:rPr>
                <w:rFonts w:hint="eastAsia" w:cs="宋体" w:asciiTheme="minorEastAsia" w:hAnsiTheme="minorEastAsia" w:eastAsiaTheme="minorEastAsia"/>
                <w:szCs w:val="21"/>
                <w:lang w:eastAsia="zh-CN"/>
              </w:rPr>
              <w:t>，</w:t>
            </w:r>
            <w:r>
              <w:rPr>
                <w:rFonts w:hint="eastAsia" w:cs="宋体" w:asciiTheme="minorEastAsia" w:hAnsiTheme="minorEastAsia" w:eastAsiaTheme="minorEastAsia"/>
                <w:szCs w:val="21"/>
                <w:lang w:val="en-US" w:eastAsia="zh-CN"/>
              </w:rPr>
              <w:t>完成</w:t>
            </w:r>
            <w:r>
              <w:rPr>
                <w:rFonts w:hint="eastAsia" w:cs="宋体" w:asciiTheme="minorEastAsia" w:hAnsiTheme="minorEastAsia" w:eastAsiaTheme="minorEastAsia"/>
                <w:szCs w:val="21"/>
              </w:rPr>
              <w:t>100%</w:t>
            </w:r>
          </w:p>
          <w:p>
            <w:pPr>
              <w:rPr>
                <w:rFonts w:hint="eastAsia" w:cs="宋体" w:asciiTheme="minorEastAsia" w:hAnsiTheme="minorEastAsia" w:eastAsiaTheme="minorEastAsia"/>
                <w:szCs w:val="21"/>
              </w:rPr>
            </w:pPr>
            <w:r>
              <w:rPr>
                <w:rFonts w:hint="eastAsia" w:cs="宋体" w:asciiTheme="minorEastAsia" w:hAnsiTheme="minorEastAsia" w:eastAsiaTheme="minorEastAsia"/>
                <w:szCs w:val="21"/>
              </w:rPr>
              <w:t>抽查2019年</w:t>
            </w:r>
            <w:r>
              <w:rPr>
                <w:rFonts w:hint="eastAsia" w:cs="宋体" w:asciiTheme="minorEastAsia" w:hAnsiTheme="minorEastAsia" w:eastAsiaTheme="minorEastAsia"/>
                <w:szCs w:val="21"/>
                <w:lang w:val="en-US" w:eastAsia="zh-CN"/>
              </w:rPr>
              <w:t>9</w:t>
            </w:r>
            <w:r>
              <w:rPr>
                <w:rFonts w:hint="eastAsia" w:cs="宋体" w:asciiTheme="minorEastAsia" w:hAnsiTheme="minorEastAsia" w:eastAsiaTheme="minorEastAsia"/>
                <w:szCs w:val="21"/>
              </w:rPr>
              <w:t>月-2019年1</w:t>
            </w:r>
            <w:r>
              <w:rPr>
                <w:rFonts w:hint="eastAsia" w:cs="宋体" w:asciiTheme="minorEastAsia" w:hAnsiTheme="minorEastAsia" w:eastAsiaTheme="minorEastAsia"/>
                <w:szCs w:val="21"/>
                <w:lang w:val="en-US" w:eastAsia="zh-CN"/>
              </w:rPr>
              <w:t>2</w:t>
            </w:r>
            <w:r>
              <w:rPr>
                <w:rFonts w:hint="eastAsia" w:cs="宋体" w:asciiTheme="minorEastAsia" w:hAnsiTheme="minorEastAsia" w:eastAsiaTheme="minorEastAsia"/>
                <w:szCs w:val="21"/>
              </w:rPr>
              <w:t>月的考核记录，经考核均完成目标任务，</w:t>
            </w:r>
          </w:p>
          <w:p>
            <w:pPr>
              <w:rPr>
                <w:rFonts w:hint="eastAsia" w:cs="宋体" w:asciiTheme="minorEastAsia" w:hAnsiTheme="minorEastAsia" w:eastAsiaTheme="minorEastAsia"/>
                <w:szCs w:val="21"/>
                <w:lang w:eastAsia="zh-CN"/>
              </w:rPr>
            </w:pPr>
            <w:r>
              <w:rPr>
                <w:rFonts w:hint="eastAsia" w:cs="宋体" w:asciiTheme="minorEastAsia" w:hAnsiTheme="minorEastAsia" w:eastAsiaTheme="minorEastAsia"/>
                <w:szCs w:val="21"/>
              </w:rPr>
              <w:t>考核人：</w:t>
            </w:r>
            <w:r>
              <w:rPr>
                <w:rFonts w:hint="eastAsia" w:cs="宋体" w:asciiTheme="minorEastAsia" w:hAnsiTheme="minorEastAsia" w:eastAsiaTheme="minorEastAsia"/>
                <w:szCs w:val="21"/>
                <w:lang w:eastAsia="zh-CN"/>
              </w:rPr>
              <w:t>综合部</w:t>
            </w:r>
            <w:r>
              <w:rPr>
                <w:rFonts w:hint="eastAsia" w:cs="宋体" w:asciiTheme="minorEastAsia" w:hAnsiTheme="minorEastAsia" w:eastAsiaTheme="minorEastAsia"/>
                <w:szCs w:val="21"/>
              </w:rPr>
              <w:t xml:space="preserve"> 审核：</w:t>
            </w:r>
            <w:r>
              <w:rPr>
                <w:rFonts w:hint="eastAsia" w:cs="宋体" w:asciiTheme="minorEastAsia" w:hAnsiTheme="minorEastAsia" w:eastAsiaTheme="minorEastAsia"/>
                <w:szCs w:val="21"/>
                <w:lang w:val="en-US" w:eastAsia="zh-CN"/>
              </w:rPr>
              <w:t xml:space="preserve">卢慧   </w:t>
            </w:r>
            <w:r>
              <w:rPr>
                <w:rFonts w:hint="eastAsia" w:cs="宋体" w:asciiTheme="minorEastAsia" w:hAnsiTheme="minorEastAsia" w:eastAsiaTheme="minorEastAsia"/>
                <w:szCs w:val="21"/>
              </w:rPr>
              <w:t>批准：</w:t>
            </w:r>
            <w:r>
              <w:rPr>
                <w:rFonts w:hint="eastAsia" w:cs="宋体" w:asciiTheme="minorEastAsia" w:hAnsiTheme="minorEastAsia" w:eastAsiaTheme="minorEastAsia"/>
                <w:szCs w:val="21"/>
                <w:lang w:val="en-US" w:eastAsia="zh-CN"/>
              </w:rPr>
              <w:t>张峰</w:t>
            </w:r>
            <w:r>
              <w:rPr>
                <w:rFonts w:hint="eastAsia" w:cs="宋体" w:asciiTheme="minorEastAsia" w:hAnsiTheme="minorEastAsia" w:eastAsiaTheme="minorEastAsia"/>
                <w:szCs w:val="21"/>
              </w:rPr>
              <w:t xml:space="preserve"> </w:t>
            </w:r>
            <w:r>
              <w:rPr>
                <w:rFonts w:hint="eastAsia" w:cs="宋体" w:asciiTheme="minorEastAsia" w:hAnsiTheme="minorEastAsia" w:eastAsiaTheme="minorEastAsia"/>
                <w:szCs w:val="21"/>
                <w:lang w:val="en-US" w:eastAsia="zh-CN"/>
              </w:rPr>
              <w:t xml:space="preserve"> </w:t>
            </w:r>
            <w:r>
              <w:rPr>
                <w:rFonts w:hint="eastAsia" w:cs="宋体" w:asciiTheme="minorEastAsia" w:hAnsiTheme="minorEastAsia" w:eastAsiaTheme="minorEastAsia"/>
                <w:szCs w:val="21"/>
              </w:rPr>
              <w:t>20</w:t>
            </w:r>
            <w:r>
              <w:rPr>
                <w:rFonts w:hint="eastAsia" w:cs="宋体" w:asciiTheme="minorEastAsia" w:hAnsiTheme="minorEastAsia" w:eastAsiaTheme="minorEastAsia"/>
                <w:szCs w:val="21"/>
                <w:lang w:val="en-US" w:eastAsia="zh-CN"/>
              </w:rPr>
              <w:t>20</w:t>
            </w:r>
            <w:r>
              <w:rPr>
                <w:rFonts w:hint="eastAsia" w:cs="宋体" w:asciiTheme="minorEastAsia" w:hAnsiTheme="minorEastAsia" w:eastAsiaTheme="minorEastAsia"/>
                <w:szCs w:val="21"/>
              </w:rPr>
              <w:t>.1.</w:t>
            </w:r>
            <w:r>
              <w:rPr>
                <w:rFonts w:hint="eastAsia" w:cs="宋体" w:asciiTheme="minorEastAsia" w:hAnsiTheme="minorEastAsia" w:eastAsiaTheme="minorEastAsia"/>
                <w:szCs w:val="21"/>
                <w:lang w:val="en-US" w:eastAsia="zh-CN"/>
              </w:rPr>
              <w:t>8</w:t>
            </w:r>
          </w:p>
        </w:tc>
        <w:tc>
          <w:tcPr>
            <w:tcW w:w="1585" w:type="dxa"/>
          </w:tcPr>
          <w:p>
            <w:pP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符合</w:t>
            </w: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2160" w:type="dxa"/>
            <w:vAlign w:val="center"/>
          </w:tcPr>
          <w:p>
            <w:pPr>
              <w:rPr>
                <w:rFonts w:cs="宋体" w:asciiTheme="minorEastAsia" w:hAnsiTheme="minorEastAsia" w:eastAsiaTheme="minorEastAsia"/>
                <w:szCs w:val="21"/>
              </w:rPr>
            </w:pPr>
            <w:r>
              <w:rPr>
                <w:rFonts w:hint="eastAsia" w:cs="宋体" w:asciiTheme="minorEastAsia" w:hAnsiTheme="minorEastAsia" w:eastAsiaTheme="minorEastAsia"/>
                <w:szCs w:val="21"/>
              </w:rPr>
              <w:t>风险和机遇应对措施及策划</w:t>
            </w:r>
          </w:p>
        </w:tc>
        <w:tc>
          <w:tcPr>
            <w:tcW w:w="960" w:type="dxa"/>
            <w:vAlign w:val="center"/>
          </w:tcPr>
          <w:p>
            <w:pPr>
              <w:rPr>
                <w:rFonts w:cs="宋体" w:asciiTheme="minorEastAsia" w:hAnsiTheme="minorEastAsia" w:eastAsiaTheme="minorEastAsia"/>
                <w:szCs w:val="21"/>
              </w:rPr>
            </w:pPr>
            <w:r>
              <w:rPr>
                <w:rFonts w:hint="eastAsia" w:cs="宋体" w:asciiTheme="minorEastAsia" w:hAnsiTheme="minorEastAsia" w:eastAsiaTheme="minorEastAsia"/>
                <w:szCs w:val="21"/>
              </w:rPr>
              <w:t>Q</w:t>
            </w:r>
            <w:r>
              <w:rPr>
                <w:rFonts w:cs="宋体" w:asciiTheme="minorEastAsia" w:hAnsiTheme="minorEastAsia" w:eastAsiaTheme="minorEastAsia"/>
                <w:szCs w:val="21"/>
              </w:rPr>
              <w:t>E6.1</w:t>
            </w:r>
          </w:p>
        </w:tc>
        <w:tc>
          <w:tcPr>
            <w:tcW w:w="10004" w:type="dxa"/>
            <w:vAlign w:val="center"/>
          </w:tcPr>
          <w:p>
            <w:pPr>
              <w:spacing w:line="320" w:lineRule="exact"/>
              <w:rPr>
                <w:rFonts w:hint="eastAsia"/>
              </w:rPr>
            </w:pPr>
            <w:r>
              <w:rPr>
                <w:rFonts w:hint="eastAsia"/>
              </w:rPr>
              <w:t>公司在策划质量和环境管理体系时，为确保质量和环境管理体系能够实现其预期结果、增强有利影响避免或减少不利影响并实现改进，管理者代表考虑公司环境有关的外部和内部因素、相关方的需求和期望，通过推动SWOT分析方法来确定应对风险和机遇措施。</w:t>
            </w:r>
          </w:p>
          <w:p>
            <w:pPr>
              <w:spacing w:line="320" w:lineRule="exact"/>
              <w:rPr>
                <w:rFonts w:hint="eastAsia"/>
              </w:rPr>
            </w:pPr>
            <w:r>
              <w:rPr>
                <w:rFonts w:hint="eastAsia"/>
              </w:rPr>
              <w:t>提供公司质量和环境管理体系风险清单，对客户选择、法律风险、财务风险、原材料的采购贮存风险、生产过程风险、产品运输风险、人员培训等进行了措施应对策划。</w:t>
            </w:r>
          </w:p>
          <w:p>
            <w:pPr>
              <w:spacing w:line="320" w:lineRule="exact"/>
              <w:rPr>
                <w:rFonts w:hint="eastAsia"/>
              </w:rPr>
            </w:pPr>
            <w:r>
              <w:rPr>
                <w:rFonts w:hint="eastAsia"/>
              </w:rPr>
              <w:t>如：人员缺少教育训练，操作技能不够--不良品率高、影响交货期--对人员进行管理--制定相应管理制度--对人员进行监视等</w:t>
            </w:r>
          </w:p>
          <w:p>
            <w:pPr>
              <w:pStyle w:val="26"/>
              <w:spacing w:line="320" w:lineRule="exact"/>
              <w:rPr>
                <w:rFonts w:hint="eastAsia"/>
              </w:rPr>
            </w:pPr>
            <w:r>
              <w:rPr>
                <w:rFonts w:hint="eastAsia"/>
              </w:rPr>
              <w:t>通过制定相应管理制度，在质量和环境管理体系过程中整合并实施这些措施,通过内审和生产调度会等方式评价这些措施的有效性。并保持应对风险和机遇的措施与其对产品和服务符合性的潜在影响相适应。</w:t>
            </w:r>
          </w:p>
          <w:p>
            <w:pPr>
              <w:spacing w:line="320" w:lineRule="exact"/>
              <w:rPr>
                <w:rFonts w:hint="eastAsia" w:ascii="Times New Roman" w:hAnsi="Times New Roman" w:eastAsia="宋体" w:cs="Times New Roman"/>
                <w:kern w:val="0"/>
                <w:sz w:val="21"/>
                <w:szCs w:val="22"/>
                <w:lang w:val="en-US" w:eastAsia="zh-CN" w:bidi="ar-SA"/>
              </w:rPr>
            </w:pPr>
            <w:r>
              <w:rPr>
                <w:rFonts w:hint="eastAsia"/>
              </w:rPr>
              <w:t>执行《</w:t>
            </w:r>
            <w:r>
              <w:rPr>
                <w:rFonts w:hint="eastAsia" w:ascii="Times New Roman" w:hAnsi="Times New Roman" w:eastAsia="宋体" w:cs="Times New Roman"/>
                <w:kern w:val="0"/>
                <w:sz w:val="21"/>
                <w:szCs w:val="22"/>
                <w:lang w:val="en-US" w:eastAsia="zh-CN" w:bidi="ar-SA"/>
              </w:rPr>
              <w:t>环境因素识别与评价控制程序》</w:t>
            </w:r>
          </w:p>
          <w:p>
            <w:pPr>
              <w:spacing w:line="320" w:lineRule="exact"/>
              <w:rPr>
                <w:rFonts w:hint="eastAsia"/>
              </w:rPr>
            </w:pPr>
            <w:r>
              <w:rPr>
                <w:rFonts w:hint="eastAsia"/>
              </w:rPr>
              <w:t>查见：《环境因素调查表》和《重要环境因素清单》</w:t>
            </w:r>
          </w:p>
          <w:p>
            <w:pPr>
              <w:spacing w:line="320" w:lineRule="exact"/>
              <w:rPr>
                <w:rFonts w:hint="default" w:eastAsia="宋体"/>
                <w:lang w:val="en-US" w:eastAsia="zh-CN"/>
              </w:rPr>
            </w:pPr>
            <w:r>
              <w:rPr>
                <w:rFonts w:hint="eastAsia"/>
              </w:rPr>
              <w:t>记录人：</w:t>
            </w:r>
            <w:r>
              <w:rPr>
                <w:rFonts w:hint="eastAsia"/>
                <w:sz w:val="22"/>
              </w:rPr>
              <w:t>洪刚</w:t>
            </w:r>
            <w:r>
              <w:rPr>
                <w:rFonts w:hint="eastAsia"/>
              </w:rPr>
              <w:t>201</w:t>
            </w:r>
            <w:r>
              <w:rPr>
                <w:rFonts w:hint="eastAsia"/>
                <w:lang w:val="en-US" w:eastAsia="zh-CN"/>
              </w:rPr>
              <w:t>9</w:t>
            </w:r>
            <w:r>
              <w:rPr>
                <w:rFonts w:hint="eastAsia"/>
              </w:rPr>
              <w:t>-</w:t>
            </w:r>
            <w:r>
              <w:rPr>
                <w:rFonts w:hint="eastAsia"/>
                <w:lang w:val="en-US" w:eastAsia="zh-CN"/>
              </w:rPr>
              <w:t>9</w:t>
            </w:r>
            <w:r>
              <w:rPr>
                <w:rFonts w:hint="eastAsia"/>
              </w:rPr>
              <w:t>-</w:t>
            </w:r>
            <w:r>
              <w:rPr>
                <w:rFonts w:hint="eastAsia"/>
                <w:lang w:val="en-US" w:eastAsia="zh-CN"/>
              </w:rPr>
              <w:t>10</w:t>
            </w:r>
          </w:p>
          <w:p>
            <w:pPr>
              <w:spacing w:line="320" w:lineRule="exact"/>
              <w:rPr>
                <w:rFonts w:hint="eastAsia"/>
              </w:rPr>
            </w:pPr>
            <w:r>
              <w:rPr>
                <w:rFonts w:hint="eastAsia"/>
              </w:rPr>
              <w:t>公司对综合部环境因素进行了识别，电资源消耗、水资源消耗、纸张的消耗、污水的排放、噪音的排放、潜在火灾、生活拉圾、废灯管、打印耗材的排放等活动展开辨识，基本充分、合理，经评价，重要环境因素体有</w:t>
            </w:r>
            <w:r>
              <w:rPr>
                <w:rFonts w:hint="eastAsia"/>
                <w:lang w:val="en-US" w:eastAsia="zh-CN"/>
              </w:rPr>
              <w:t>5</w:t>
            </w:r>
            <w:r>
              <w:rPr>
                <w:rFonts w:hint="eastAsia"/>
              </w:rPr>
              <w:t>项，列入《重要环境因素清单》，批准：</w:t>
            </w:r>
            <w:r>
              <w:rPr>
                <w:rFonts w:hint="eastAsia"/>
                <w:sz w:val="22"/>
              </w:rPr>
              <w:t>洪刚</w:t>
            </w:r>
            <w:r>
              <w:rPr>
                <w:rFonts w:hint="eastAsia"/>
              </w:rPr>
              <w:t>201</w:t>
            </w:r>
            <w:r>
              <w:rPr>
                <w:rFonts w:hint="eastAsia"/>
                <w:lang w:val="en-US" w:eastAsia="zh-CN"/>
              </w:rPr>
              <w:t>9</w:t>
            </w:r>
            <w:r>
              <w:rPr>
                <w:rFonts w:hint="eastAsia"/>
              </w:rPr>
              <w:t>-</w:t>
            </w:r>
            <w:r>
              <w:rPr>
                <w:rFonts w:hint="eastAsia"/>
                <w:lang w:val="en-US" w:eastAsia="zh-CN"/>
              </w:rPr>
              <w:t>9</w:t>
            </w:r>
            <w:r>
              <w:rPr>
                <w:rFonts w:hint="eastAsia"/>
              </w:rPr>
              <w:t>-</w:t>
            </w:r>
            <w:r>
              <w:rPr>
                <w:rFonts w:hint="eastAsia"/>
                <w:lang w:val="en-US" w:eastAsia="zh-CN"/>
              </w:rPr>
              <w:t>10</w:t>
            </w:r>
            <w:r>
              <w:rPr>
                <w:rFonts w:hint="eastAsia"/>
              </w:rPr>
              <w:t>。</w:t>
            </w:r>
          </w:p>
          <w:p>
            <w:pPr>
              <w:spacing w:line="320" w:lineRule="exact"/>
              <w:rPr>
                <w:rFonts w:hint="eastAsia"/>
              </w:rPr>
            </w:pPr>
            <w:r>
              <w:rPr>
                <w:rFonts w:hint="eastAsia"/>
              </w:rPr>
              <w:t>重要环境因素清单见</w:t>
            </w:r>
            <w:r>
              <w:rPr>
                <w:rFonts w:hint="eastAsia"/>
                <w:lang w:eastAsia="zh-CN"/>
              </w:rPr>
              <w:t>：</w:t>
            </w:r>
            <w:r>
              <w:rPr>
                <w:rFonts w:hint="eastAsia"/>
                <w:color w:val="auto"/>
                <w:szCs w:val="21"/>
                <w:lang w:val="en-US" w:eastAsia="zh-CN"/>
              </w:rPr>
              <w:t>固废排放，火灾的发生，生活污水排放，办公用电，噪声</w:t>
            </w:r>
            <w:r>
              <w:rPr>
                <w:rFonts w:hint="eastAsia"/>
              </w:rPr>
              <w:t>。</w:t>
            </w:r>
          </w:p>
          <w:p>
            <w:pPr>
              <w:spacing w:line="320" w:lineRule="exact"/>
              <w:rPr>
                <w:rFonts w:hint="eastAsia"/>
              </w:rPr>
            </w:pPr>
            <w:r>
              <w:rPr>
                <w:rFonts w:hint="eastAsia"/>
                <w:color w:val="auto"/>
                <w:szCs w:val="21"/>
                <w:lang w:val="en-US" w:eastAsia="zh-CN"/>
              </w:rPr>
              <w:t>生活污水排放--排入城市管网</w:t>
            </w:r>
            <w:r>
              <w:rPr>
                <w:rFonts w:hint="eastAsia"/>
              </w:rPr>
              <w:t>；</w:t>
            </w:r>
          </w:p>
          <w:p>
            <w:pPr>
              <w:spacing w:line="320" w:lineRule="exact"/>
              <w:rPr>
                <w:rFonts w:hint="eastAsia"/>
              </w:rPr>
            </w:pPr>
            <w:r>
              <w:rPr>
                <w:rFonts w:hint="eastAsia"/>
              </w:rPr>
              <w:t>危险固废排放--废弃墨盒、硒鼓、色带、废打印机、废电池、废电脑、废复印机、废润滑油、废旧荧光灯管、废电子产品等；</w:t>
            </w:r>
          </w:p>
          <w:p>
            <w:pPr>
              <w:spacing w:line="320" w:lineRule="exact"/>
              <w:rPr>
                <w:rFonts w:hint="eastAsia"/>
              </w:rPr>
            </w:pPr>
            <w:r>
              <w:rPr>
                <w:rFonts w:hint="eastAsia"/>
                <w:color w:val="auto"/>
                <w:szCs w:val="21"/>
                <w:lang w:val="en-US" w:eastAsia="zh-CN"/>
              </w:rPr>
              <w:t>火灾的发生</w:t>
            </w:r>
            <w:r>
              <w:rPr>
                <w:rFonts w:hint="eastAsia"/>
              </w:rPr>
              <w:t>--电线老化等；</w:t>
            </w:r>
          </w:p>
          <w:p>
            <w:pPr>
              <w:spacing w:line="320" w:lineRule="exact"/>
              <w:rPr>
                <w:rFonts w:hint="eastAsia"/>
              </w:rPr>
            </w:pPr>
            <w:r>
              <w:rPr>
                <w:rFonts w:hint="eastAsia"/>
              </w:rPr>
              <w:t>生活垃圾排放；</w:t>
            </w:r>
          </w:p>
          <w:p>
            <w:pPr>
              <w:pStyle w:val="26"/>
              <w:spacing w:line="320" w:lineRule="exact"/>
              <w:rPr>
                <w:rFonts w:hint="eastAsia"/>
              </w:rPr>
            </w:pPr>
            <w:r>
              <w:rPr>
                <w:rFonts w:hint="eastAsia"/>
              </w:rPr>
              <w:t>本部门环境因素识别基本充分、合理。</w:t>
            </w:r>
          </w:p>
          <w:p>
            <w:pPr>
              <w:pStyle w:val="26"/>
              <w:spacing w:line="320" w:lineRule="exact"/>
            </w:pPr>
            <w:r>
              <w:rPr>
                <w:rFonts w:hint="eastAsia" w:ascii="宋体" w:hAnsi="宋体"/>
                <w:szCs w:val="21"/>
              </w:rPr>
              <w:t>部门对能源施用（配电）的环境因素进行了识别，电资源消耗、水资源消耗、纸张的消耗、污水混合物的排放、更的换部件、电线老化潜在的火灾、噪声排放、潜在火灾的等活动。</w:t>
            </w:r>
          </w:p>
        </w:tc>
        <w:tc>
          <w:tcPr>
            <w:tcW w:w="1585" w:type="dxa"/>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2160" w:type="dxa"/>
          </w:tcPr>
          <w:p>
            <w:pPr>
              <w:adjustRightInd w:val="0"/>
              <w:snapToGrid w:val="0"/>
              <w:rPr>
                <w:rFonts w:cs="新宋体" w:asciiTheme="minorEastAsia" w:hAnsiTheme="minorEastAsia" w:eastAsiaTheme="minorEastAsia"/>
                <w:szCs w:val="21"/>
              </w:rPr>
            </w:pPr>
            <w:r>
              <w:rPr>
                <w:rFonts w:hint="eastAsia" w:cs="宋体" w:asciiTheme="minorEastAsia" w:hAnsiTheme="minorEastAsia" w:eastAsiaTheme="minorEastAsia"/>
                <w:szCs w:val="21"/>
              </w:rPr>
              <w:t>运作环境</w:t>
            </w:r>
          </w:p>
        </w:tc>
        <w:tc>
          <w:tcPr>
            <w:tcW w:w="960" w:type="dxa"/>
          </w:tcPr>
          <w:p>
            <w:pPr>
              <w:rPr>
                <w:rFonts w:cs="宋体" w:asciiTheme="minorEastAsia" w:hAnsiTheme="minorEastAsia" w:eastAsiaTheme="minorEastAsia"/>
                <w:szCs w:val="21"/>
              </w:rPr>
            </w:pPr>
            <w:r>
              <w:rPr>
                <w:rFonts w:hint="eastAsia" w:cs="宋体" w:asciiTheme="minorEastAsia" w:hAnsiTheme="minorEastAsia" w:eastAsiaTheme="minorEastAsia"/>
                <w:szCs w:val="21"/>
              </w:rPr>
              <w:t>Q7.1.4</w:t>
            </w:r>
          </w:p>
          <w:p>
            <w:pPr>
              <w:pStyle w:val="2"/>
              <w:rPr>
                <w:rFonts w:asciiTheme="minorEastAsia" w:hAnsiTheme="minorEastAsia" w:eastAsiaTheme="minorEastAsia"/>
                <w:szCs w:val="21"/>
              </w:rPr>
            </w:pPr>
            <w:r>
              <w:rPr>
                <w:rFonts w:hint="eastAsia" w:asciiTheme="minorEastAsia" w:hAnsiTheme="minorEastAsia" w:eastAsiaTheme="minorEastAsia"/>
                <w:szCs w:val="21"/>
              </w:rPr>
              <w:t>E</w:t>
            </w:r>
            <w:r>
              <w:rPr>
                <w:rFonts w:asciiTheme="minorEastAsia" w:hAnsiTheme="minorEastAsia" w:eastAsiaTheme="minorEastAsia"/>
                <w:szCs w:val="21"/>
              </w:rPr>
              <w:t>8.1</w:t>
            </w:r>
          </w:p>
          <w:p>
            <w:pPr>
              <w:pStyle w:val="2"/>
              <w:rPr>
                <w:rFonts w:asciiTheme="minorEastAsia" w:hAnsiTheme="minorEastAsia" w:eastAsiaTheme="minorEastAsia"/>
                <w:szCs w:val="21"/>
              </w:rPr>
            </w:pPr>
          </w:p>
        </w:tc>
        <w:tc>
          <w:tcPr>
            <w:tcW w:w="10004" w:type="dxa"/>
          </w:tcPr>
          <w:p>
            <w:pPr>
              <w:rPr>
                <w:rFonts w:hint="eastAsia" w:cs="宋体" w:asciiTheme="minorEastAsia" w:hAnsiTheme="minorEastAsia" w:eastAsiaTheme="minorEastAsia"/>
                <w:szCs w:val="21"/>
              </w:rPr>
            </w:pPr>
            <w:r>
              <w:rPr>
                <w:rFonts w:hint="eastAsia" w:asciiTheme="minorEastAsia" w:hAnsiTheme="minorEastAsia" w:eastAsiaTheme="minorEastAsia"/>
                <w:szCs w:val="21"/>
                <w:lang w:eastAsia="zh-CN"/>
              </w:rPr>
              <w:t>综合部</w:t>
            </w:r>
            <w:r>
              <w:rPr>
                <w:rFonts w:hint="eastAsia" w:asciiTheme="minorEastAsia" w:hAnsiTheme="minorEastAsia" w:eastAsiaTheme="minorEastAsia"/>
                <w:szCs w:val="21"/>
              </w:rPr>
              <w:t>负责公司办公环境的管理，抓好清洁、绿化等管理，为员</w:t>
            </w:r>
            <w:r>
              <w:rPr>
                <w:rFonts w:hint="eastAsia" w:cs="宋体" w:asciiTheme="minorEastAsia" w:hAnsiTheme="minorEastAsia" w:eastAsiaTheme="minorEastAsia"/>
                <w:szCs w:val="21"/>
              </w:rPr>
              <w:t>工提供文明整洁的办公环境。</w:t>
            </w:r>
          </w:p>
          <w:p>
            <w:pPr>
              <w:rPr>
                <w:rFonts w:hint="eastAsia" w:cs="宋体" w:asciiTheme="minorEastAsia" w:hAnsiTheme="minorEastAsia" w:eastAsiaTheme="minorEastAsia"/>
                <w:szCs w:val="21"/>
              </w:rPr>
            </w:pPr>
            <w:r>
              <w:rPr>
                <w:rFonts w:hint="eastAsia" w:cs="宋体" w:asciiTheme="minorEastAsia" w:hAnsiTheme="minorEastAsia" w:eastAsiaTheme="minorEastAsia"/>
                <w:szCs w:val="21"/>
              </w:rPr>
              <w:t>公司对过程运行环境要素予以识别、确定，包括：人文因素与物理因素的结合，例如：公司全体员工年青化，凝聚全体员工工作积极性，这也成为公司竞争优势，如：员工队伍稳定，客户口碑较好。</w:t>
            </w:r>
          </w:p>
          <w:p>
            <w:pPr>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a）社会因素（社会稳定，招工相对容易）；</w:t>
            </w:r>
          </w:p>
          <w:p>
            <w:pPr>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b）工作环境（内部工种环境和外部环境满足公司经营要求）；</w:t>
            </w:r>
          </w:p>
          <w:p>
            <w:pPr>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c）财务因素（公司财务资金状况良好，不存在贷款等情况）。</w:t>
            </w:r>
          </w:p>
          <w:p>
            <w:pPr>
              <w:rPr>
                <w:rFonts w:hint="eastAsia" w:cs="宋体" w:asciiTheme="minorEastAsia" w:hAnsiTheme="minorEastAsia" w:eastAsiaTheme="minorEastAsia"/>
                <w:szCs w:val="21"/>
              </w:rPr>
            </w:pPr>
            <w:r>
              <w:rPr>
                <w:rFonts w:hint="eastAsia" w:cs="宋体" w:asciiTheme="minorEastAsia" w:hAnsiTheme="minorEastAsia" w:eastAsiaTheme="minorEastAsia"/>
                <w:szCs w:val="21"/>
              </w:rPr>
              <w:t>经现场确认（观察、记录查阅、沟通调查）：</w:t>
            </w:r>
          </w:p>
          <w:p>
            <w:pPr>
              <w:rPr>
                <w:rFonts w:cs="宋体" w:asciiTheme="minorEastAsia" w:hAnsiTheme="minorEastAsia" w:eastAsiaTheme="minorEastAsia"/>
                <w:szCs w:val="21"/>
              </w:rPr>
            </w:pPr>
            <w:r>
              <w:rPr>
                <w:rFonts w:hint="eastAsia" w:cs="宋体" w:asciiTheme="minorEastAsia" w:hAnsiTheme="minorEastAsia" w:eastAsiaTheme="minorEastAsia"/>
                <w:szCs w:val="21"/>
              </w:rPr>
              <w:t>公司经营地址：</w:t>
            </w:r>
            <w:bookmarkStart w:id="0" w:name="OLE_LINK1"/>
            <w:bookmarkStart w:id="1" w:name="OLE_LINK2"/>
            <w:bookmarkStart w:id="2" w:name="生产地址"/>
            <w:r>
              <w:rPr>
                <w:rFonts w:hint="eastAsia" w:cs="宋体" w:asciiTheme="minorEastAsia" w:hAnsiTheme="minorEastAsia" w:eastAsiaTheme="minorEastAsia"/>
                <w:szCs w:val="21"/>
              </w:rPr>
              <w:t>安徽省阜阳市</w:t>
            </w:r>
            <w:bookmarkEnd w:id="0"/>
            <w:r>
              <w:rPr>
                <w:rFonts w:hint="eastAsia" w:cs="宋体" w:asciiTheme="minorEastAsia" w:hAnsiTheme="minorEastAsia" w:eastAsiaTheme="minorEastAsia"/>
                <w:szCs w:val="21"/>
              </w:rPr>
              <w:t>颍州区</w:t>
            </w:r>
            <w:bookmarkEnd w:id="1"/>
            <w:r>
              <w:rPr>
                <w:rFonts w:hint="eastAsia" w:cs="宋体" w:asciiTheme="minorEastAsia" w:hAnsiTheme="minorEastAsia" w:eastAsiaTheme="minorEastAsia"/>
                <w:szCs w:val="21"/>
              </w:rPr>
              <w:t>阜阳合肥现代产业园区B10栋</w:t>
            </w:r>
            <w:bookmarkEnd w:id="2"/>
            <w:r>
              <w:rPr>
                <w:rFonts w:hint="eastAsia" w:cs="宋体" w:asciiTheme="minorEastAsia" w:hAnsiTheme="minorEastAsia" w:eastAsiaTheme="minorEastAsia"/>
                <w:szCs w:val="21"/>
              </w:rPr>
              <w:t>，公司自有商用办公场所，面积：</w:t>
            </w:r>
            <w:r>
              <w:rPr>
                <w:rFonts w:hint="eastAsia" w:cs="宋体" w:asciiTheme="minorEastAsia" w:hAnsiTheme="minorEastAsia" w:eastAsiaTheme="minorEastAsia"/>
                <w:szCs w:val="21"/>
                <w:lang w:val="en-US" w:eastAsia="zh-CN"/>
              </w:rPr>
              <w:t>3000</w:t>
            </w:r>
            <w:r>
              <w:rPr>
                <w:rFonts w:hint="eastAsia" w:cs="宋体" w:asciiTheme="minorEastAsia" w:hAnsiTheme="minorEastAsia" w:eastAsiaTheme="minorEastAsia"/>
                <w:szCs w:val="21"/>
              </w:rPr>
              <w:t>平米；</w:t>
            </w:r>
            <w:r>
              <w:rPr>
                <w:rFonts w:hint="eastAsia" w:cs="宋体" w:asciiTheme="minorEastAsia" w:hAnsiTheme="minorEastAsia" w:eastAsiaTheme="minorEastAsia"/>
                <w:szCs w:val="21"/>
                <w:lang w:val="en-US" w:eastAsia="zh-CN"/>
              </w:rPr>
              <w:t>库房1个，</w:t>
            </w:r>
            <w:r>
              <w:rPr>
                <w:rFonts w:hint="eastAsia" w:cs="宋体" w:asciiTheme="minorEastAsia" w:hAnsiTheme="minorEastAsia" w:eastAsiaTheme="minorEastAsia"/>
                <w:szCs w:val="21"/>
              </w:rPr>
              <w:t>部门按职责分布，</w:t>
            </w:r>
            <w:r>
              <w:rPr>
                <w:rFonts w:hint="eastAsia" w:cs="宋体" w:asciiTheme="minorEastAsia" w:hAnsiTheme="minorEastAsia" w:eastAsiaTheme="minorEastAsia"/>
                <w:szCs w:val="21"/>
                <w:lang w:val="en-US" w:eastAsia="zh-CN"/>
              </w:rPr>
              <w:t>综合部</w:t>
            </w:r>
            <w:r>
              <w:rPr>
                <w:rFonts w:hint="eastAsia" w:cs="宋体" w:asciiTheme="minorEastAsia" w:hAnsiTheme="minorEastAsia" w:eastAsiaTheme="minorEastAsia"/>
                <w:szCs w:val="21"/>
              </w:rPr>
              <w:t>、会议室清洁卫生，设置有空调、饮水机、办公桌、电脑、打印机、绿植、电话等办公设施，员工之间团结和谐，工作氛围亲和友爱；以上相关的社会因素、工作环境、财务因素等均基本满足要求。</w:t>
            </w:r>
          </w:p>
        </w:tc>
        <w:tc>
          <w:tcPr>
            <w:tcW w:w="1585" w:type="dxa"/>
          </w:tcPr>
          <w:p>
            <w:pP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2160" w:type="dxa"/>
            <w:vMerge w:val="restart"/>
          </w:tcPr>
          <w:p>
            <w:pPr>
              <w:adjustRightInd w:val="0"/>
              <w:snapToGrid w:val="0"/>
              <w:rPr>
                <w:rFonts w:cs="新宋体" w:asciiTheme="minorEastAsia" w:hAnsiTheme="minorEastAsia" w:eastAsiaTheme="minorEastAsia"/>
                <w:szCs w:val="21"/>
              </w:rPr>
            </w:pPr>
            <w:r>
              <w:rPr>
                <w:rFonts w:hint="eastAsia" w:cs="宋体" w:asciiTheme="minorEastAsia" w:hAnsiTheme="minorEastAsia" w:eastAsiaTheme="minorEastAsia"/>
                <w:szCs w:val="21"/>
              </w:rPr>
              <w:t>能力、意识</w:t>
            </w:r>
          </w:p>
        </w:tc>
        <w:tc>
          <w:tcPr>
            <w:tcW w:w="960" w:type="dxa"/>
            <w:vMerge w:val="restart"/>
          </w:tcPr>
          <w:p>
            <w:pPr>
              <w:tabs>
                <w:tab w:val="center" w:pos="3169"/>
              </w:tabs>
              <w:spacing w:line="400" w:lineRule="exact"/>
              <w:rPr>
                <w:rFonts w:cs="宋体" w:asciiTheme="minorEastAsia" w:hAnsiTheme="minorEastAsia" w:eastAsiaTheme="minorEastAsia"/>
                <w:szCs w:val="21"/>
              </w:rPr>
            </w:pPr>
            <w:r>
              <w:rPr>
                <w:rFonts w:hint="eastAsia" w:cs="宋体" w:asciiTheme="minorEastAsia" w:hAnsiTheme="minorEastAsia" w:eastAsiaTheme="minorEastAsia"/>
                <w:szCs w:val="21"/>
              </w:rPr>
              <w:t>QE7.2</w:t>
            </w:r>
            <w:r>
              <w:rPr>
                <w:rFonts w:cs="宋体" w:asciiTheme="minorEastAsia" w:hAnsiTheme="minorEastAsia" w:eastAsiaTheme="minorEastAsia"/>
                <w:szCs w:val="21"/>
              </w:rPr>
              <w:t>/</w:t>
            </w:r>
          </w:p>
          <w:p>
            <w:pPr>
              <w:tabs>
                <w:tab w:val="center" w:pos="3169"/>
              </w:tabs>
              <w:spacing w:line="400" w:lineRule="exact"/>
              <w:rPr>
                <w:rFonts w:cs="宋体" w:asciiTheme="minorEastAsia" w:hAnsiTheme="minorEastAsia" w:eastAsiaTheme="minorEastAsia"/>
                <w:szCs w:val="21"/>
              </w:rPr>
            </w:pPr>
            <w:r>
              <w:rPr>
                <w:rFonts w:hint="eastAsia" w:cs="宋体" w:asciiTheme="minorEastAsia" w:hAnsiTheme="minorEastAsia" w:eastAsiaTheme="minorEastAsia"/>
                <w:szCs w:val="21"/>
              </w:rPr>
              <w:t>7.3</w:t>
            </w:r>
          </w:p>
          <w:p>
            <w:pPr>
              <w:pStyle w:val="2"/>
              <w:rPr>
                <w:rFonts w:asciiTheme="minorEastAsia" w:hAnsiTheme="minorEastAsia" w:eastAsiaTheme="minorEastAsia"/>
                <w:szCs w:val="21"/>
              </w:rPr>
            </w:pPr>
          </w:p>
        </w:tc>
        <w:tc>
          <w:tcPr>
            <w:tcW w:w="10004" w:type="dxa"/>
            <w:vMerge w:val="restart"/>
          </w:tcPr>
          <w:p>
            <w:pPr>
              <w:rPr>
                <w:rFonts w:hint="eastAsia" w:cs="宋体" w:asciiTheme="minorEastAsia" w:hAnsiTheme="minorEastAsia" w:eastAsiaTheme="minorEastAsia"/>
                <w:szCs w:val="21"/>
              </w:rPr>
            </w:pPr>
            <w:r>
              <w:rPr>
                <w:rFonts w:hint="eastAsia" w:cs="宋体" w:asciiTheme="minorEastAsia" w:hAnsiTheme="minorEastAsia" w:eastAsiaTheme="minorEastAsia"/>
                <w:szCs w:val="21"/>
              </w:rPr>
              <w:t>公司确定了从事的工作影响质量、环境管理体系绩效和有效性且在公司控制范围内的人员所必要的能力，这些能力主要是基于适当的教育、培训或经历等。</w:t>
            </w:r>
          </w:p>
          <w:p>
            <w:pPr>
              <w:rPr>
                <w:rFonts w:hint="eastAsia" w:cs="宋体" w:asciiTheme="minorEastAsia" w:hAnsiTheme="minorEastAsia" w:eastAsiaTheme="minorEastAsia"/>
                <w:szCs w:val="21"/>
              </w:rPr>
            </w:pPr>
            <w:r>
              <w:rPr>
                <w:rFonts w:hint="eastAsia" w:cs="宋体" w:asciiTheme="minorEastAsia" w:hAnsiTheme="minorEastAsia" w:eastAsiaTheme="minorEastAsia"/>
                <w:szCs w:val="21"/>
              </w:rPr>
              <w:t>公司对每个从事影响产品符合性要求及从事的工作影响质量、环境管理体系绩效和有效性的工作人员的能力进行识别，制定培训制度、有计划有目的、系统地提供培训以满足这些需求。</w:t>
            </w:r>
          </w:p>
          <w:p>
            <w:pPr>
              <w:rPr>
                <w:rFonts w:hint="eastAsia" w:cs="宋体" w:asciiTheme="minorEastAsia" w:hAnsiTheme="minorEastAsia" w:eastAsiaTheme="minorEastAsia"/>
                <w:szCs w:val="21"/>
              </w:rPr>
            </w:pPr>
            <w:r>
              <w:rPr>
                <w:rFonts w:hint="eastAsia" w:cs="宋体" w:asciiTheme="minorEastAsia" w:hAnsiTheme="minorEastAsia" w:eastAsiaTheme="minorEastAsia"/>
                <w:szCs w:val="21"/>
              </w:rPr>
              <w:t>适用时，采取措施（包括：培训、辅导、重新分配工作或招聘具有能力的人员）获得所需的能力，并评价措施的有效性。保留适当的形成文件的信息，作为人员能力的证据。</w:t>
            </w:r>
          </w:p>
          <w:p>
            <w:pPr>
              <w:rPr>
                <w:rFonts w:hint="eastAsia" w:cs="宋体" w:asciiTheme="minorEastAsia" w:hAnsiTheme="minorEastAsia" w:eastAsiaTheme="minorEastAsia"/>
                <w:szCs w:val="21"/>
              </w:rPr>
            </w:pPr>
            <w:r>
              <w:rPr>
                <w:rFonts w:hint="eastAsia" w:cs="宋体" w:asciiTheme="minorEastAsia" w:hAnsiTheme="minorEastAsia" w:eastAsiaTheme="minorEastAsia"/>
                <w:szCs w:val="21"/>
              </w:rPr>
              <w:t>抽查人员持证情况：</w:t>
            </w:r>
          </w:p>
          <w:p>
            <w:pPr>
              <w:ind w:firstLine="420" w:firstLineChars="200"/>
              <w:rPr>
                <w:rFonts w:hint="eastAsia" w:cs="宋体" w:asciiTheme="minorEastAsia" w:hAnsiTheme="minorEastAsia" w:eastAsiaTheme="minorEastAsia"/>
                <w:szCs w:val="21"/>
                <w:lang w:val="en-US" w:eastAsia="zh-CN"/>
              </w:rPr>
            </w:pPr>
            <w:r>
              <w:rPr>
                <w:rFonts w:hint="eastAsia" w:cs="宋体" w:asciiTheme="minorEastAsia" w:hAnsiTheme="minorEastAsia" w:eastAsiaTheme="minorEastAsia"/>
                <w:szCs w:val="21"/>
              </w:rPr>
              <w:t>A证</w:t>
            </w:r>
            <w:r>
              <w:rPr>
                <w:rFonts w:hint="eastAsia" w:cs="宋体" w:asciiTheme="minorEastAsia" w:hAnsiTheme="minorEastAsia" w:eastAsiaTheme="minorEastAsia"/>
                <w:szCs w:val="21"/>
                <w:lang w:eastAsia="zh-CN"/>
              </w:rPr>
              <w:t>，张峰，皖建安A（2015）0028518，</w:t>
            </w:r>
            <w:r>
              <w:rPr>
                <w:rFonts w:hint="eastAsia" w:cs="宋体" w:asciiTheme="minorEastAsia" w:hAnsiTheme="minorEastAsia" w:eastAsiaTheme="minorEastAsia"/>
                <w:szCs w:val="21"/>
                <w:lang w:val="en-US" w:eastAsia="zh-CN"/>
              </w:rPr>
              <w:t>有效期</w:t>
            </w:r>
            <w:r>
              <w:rPr>
                <w:rFonts w:hint="eastAsia" w:cs="宋体" w:asciiTheme="minorEastAsia" w:hAnsiTheme="minorEastAsia" w:eastAsiaTheme="minorEastAsia"/>
                <w:szCs w:val="21"/>
                <w:lang w:eastAsia="zh-CN"/>
              </w:rPr>
              <w:t>2020.8.18</w:t>
            </w:r>
            <w:r>
              <w:rPr>
                <w:rFonts w:hint="eastAsia" w:cs="宋体" w:asciiTheme="minorEastAsia" w:hAnsiTheme="minorEastAsia" w:eastAsiaTheme="minorEastAsia"/>
                <w:szCs w:val="21"/>
                <w:lang w:val="en-US" w:eastAsia="zh-CN"/>
              </w:rPr>
              <w:t>；</w:t>
            </w:r>
          </w:p>
          <w:p>
            <w:pPr>
              <w:ind w:firstLine="420" w:firstLineChars="200"/>
              <w:rPr>
                <w:rFonts w:hint="eastAsia" w:cs="宋体" w:asciiTheme="minorEastAsia" w:hAnsiTheme="minorEastAsia" w:eastAsiaTheme="minorEastAsia"/>
                <w:szCs w:val="21"/>
                <w:lang w:val="en-US" w:eastAsia="zh-CN"/>
              </w:rPr>
            </w:pPr>
            <w:r>
              <w:rPr>
                <w:rFonts w:hint="default" w:cs="宋体" w:asciiTheme="minorEastAsia" w:hAnsiTheme="minorEastAsia" w:eastAsiaTheme="minorEastAsia"/>
                <w:szCs w:val="21"/>
                <w:lang w:val="en-US" w:eastAsia="zh-CN"/>
              </w:rPr>
              <w:t>c证</w:t>
            </w:r>
            <w:r>
              <w:rPr>
                <w:rFonts w:hint="eastAsia" w:cs="宋体" w:asciiTheme="minorEastAsia" w:hAnsiTheme="minorEastAsia" w:eastAsiaTheme="minorEastAsia"/>
                <w:szCs w:val="21"/>
                <w:lang w:val="en-US" w:eastAsia="zh-CN"/>
              </w:rPr>
              <w:t>，丁凯，皖建安C（2016）0044846，有效期2021.3.18；</w:t>
            </w:r>
          </w:p>
          <w:p>
            <w:pPr>
              <w:ind w:firstLine="420" w:firstLineChars="200"/>
              <w:rPr>
                <w:rFonts w:hint="default" w:cs="宋体" w:asciiTheme="minorEastAsia" w:hAnsiTheme="minorEastAsia" w:eastAsiaTheme="minorEastAsia"/>
                <w:szCs w:val="21"/>
                <w:lang w:val="en-US" w:eastAsia="zh-CN"/>
              </w:rPr>
            </w:pPr>
            <w:r>
              <w:rPr>
                <w:rFonts w:hint="default" w:cs="宋体" w:asciiTheme="minorEastAsia" w:hAnsiTheme="minorEastAsia" w:eastAsiaTheme="minorEastAsia"/>
                <w:szCs w:val="21"/>
                <w:lang w:val="en-US" w:eastAsia="zh-CN"/>
              </w:rPr>
              <w:t>C证</w:t>
            </w:r>
            <w:r>
              <w:rPr>
                <w:rFonts w:hint="eastAsia" w:cs="宋体" w:asciiTheme="minorEastAsia" w:hAnsiTheme="minorEastAsia" w:eastAsiaTheme="minorEastAsia"/>
                <w:szCs w:val="21"/>
                <w:lang w:val="en-US" w:eastAsia="zh-CN"/>
              </w:rPr>
              <w:t>，王亮，皖建安C（2016）0044325，有效期2021.8.18</w:t>
            </w:r>
          </w:p>
          <w:p>
            <w:pPr>
              <w:ind w:firstLine="420" w:firstLineChars="200"/>
              <w:rPr>
                <w:rFonts w:hint="eastAsia" w:cs="宋体" w:asciiTheme="minorEastAsia" w:hAnsiTheme="minorEastAsia" w:eastAsiaTheme="minorEastAsia"/>
                <w:szCs w:val="21"/>
                <w:lang w:val="en-US" w:eastAsia="zh-CN"/>
              </w:rPr>
            </w:pPr>
            <w:r>
              <w:rPr>
                <w:rFonts w:hint="eastAsia" w:cs="宋体" w:asciiTheme="minorEastAsia" w:hAnsiTheme="minorEastAsia" w:eastAsiaTheme="minorEastAsia"/>
                <w:szCs w:val="21"/>
              </w:rPr>
              <w:t>安防中级</w:t>
            </w:r>
            <w:r>
              <w:rPr>
                <w:rFonts w:hint="eastAsia" w:cs="宋体" w:asciiTheme="minorEastAsia" w:hAnsiTheme="minorEastAsia" w:eastAsiaTheme="minorEastAsia"/>
                <w:szCs w:val="21"/>
                <w:lang w:val="en-US" w:eastAsia="zh-CN"/>
              </w:rPr>
              <w:t>，张峰，1410034001400974</w:t>
            </w:r>
          </w:p>
          <w:p>
            <w:pPr>
              <w:ind w:firstLine="420" w:firstLineChars="200"/>
              <w:rPr>
                <w:rFonts w:hint="eastAsia"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安防中级，王大鹏，1410034001400976</w:t>
            </w:r>
          </w:p>
          <w:p>
            <w:pPr>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lang w:val="en-US" w:eastAsia="zh-CN"/>
              </w:rPr>
              <w:t>安防中级，贾刘好，1410034001400972等，均在有效期内</w:t>
            </w:r>
            <w:r>
              <w:rPr>
                <w:rFonts w:hint="eastAsia" w:cs="宋体" w:asciiTheme="minorEastAsia" w:hAnsiTheme="minorEastAsia" w:eastAsiaTheme="minorEastAsia"/>
                <w:szCs w:val="21"/>
              </w:rPr>
              <w:t>。</w:t>
            </w:r>
          </w:p>
          <w:p>
            <w:pPr>
              <w:pStyle w:val="2"/>
              <w:ind w:firstLine="460" w:firstLineChars="200"/>
              <w:rPr>
                <w:rFonts w:hint="default"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电焊工：程广鹏，证号：皖K072016027540在有效期内</w:t>
            </w:r>
          </w:p>
          <w:p>
            <w:pPr>
              <w:pStyle w:val="2"/>
              <w:rPr>
                <w:rFonts w:cs="宋体" w:asciiTheme="minorEastAsia" w:hAnsiTheme="minorEastAsia" w:eastAsiaTheme="minorEastAsia"/>
                <w:color w:val="auto"/>
                <w:szCs w:val="21"/>
              </w:rPr>
            </w:pPr>
            <w:r>
              <w:rPr>
                <w:rFonts w:cs="宋体" w:asciiTheme="minorEastAsia" w:hAnsiTheme="minorEastAsia" w:eastAsiaTheme="minorEastAsia"/>
                <w:color w:val="auto"/>
                <w:szCs w:val="21"/>
              </w:rPr>
              <w:t>人力资源满足公司发展要求；</w:t>
            </w:r>
          </w:p>
          <w:p>
            <w:pPr>
              <w:tabs>
                <w:tab w:val="center" w:pos="3169"/>
              </w:tabs>
              <w:spacing w:line="400" w:lineRule="exact"/>
              <w:ind w:firstLine="210" w:firstLineChars="100"/>
              <w:jc w:val="left"/>
              <w:rPr>
                <w:rFonts w:cs="宋体" w:asciiTheme="minorEastAsia" w:hAnsiTheme="minorEastAsia" w:eastAsiaTheme="minorEastAsia"/>
                <w:szCs w:val="21"/>
              </w:rPr>
            </w:pPr>
            <w:r>
              <w:rPr>
                <w:rFonts w:hint="eastAsia" w:cs="宋体" w:asciiTheme="minorEastAsia" w:hAnsiTheme="minorEastAsia" w:eastAsiaTheme="minorEastAsia"/>
                <w:szCs w:val="21"/>
              </w:rPr>
              <w:t>提供有2019年年度培训计划表，计划培训</w:t>
            </w:r>
            <w:r>
              <w:rPr>
                <w:rFonts w:hint="eastAsia" w:cs="宋体" w:asciiTheme="minorEastAsia" w:hAnsiTheme="minorEastAsia" w:eastAsiaTheme="minorEastAsia"/>
                <w:szCs w:val="21"/>
                <w:lang w:val="en-US" w:eastAsia="zh-CN"/>
              </w:rPr>
              <w:t>7</w:t>
            </w:r>
            <w:r>
              <w:rPr>
                <w:rFonts w:hint="eastAsia" w:cs="宋体" w:asciiTheme="minorEastAsia" w:hAnsiTheme="minorEastAsia" w:eastAsiaTheme="minorEastAsia"/>
                <w:szCs w:val="21"/>
              </w:rPr>
              <w:t>次，已培训</w:t>
            </w:r>
            <w:r>
              <w:rPr>
                <w:rFonts w:hint="eastAsia" w:cs="宋体" w:asciiTheme="minorEastAsia" w:hAnsiTheme="minorEastAsia" w:eastAsiaTheme="minorEastAsia"/>
                <w:szCs w:val="21"/>
                <w:lang w:val="en-US" w:eastAsia="zh-CN"/>
              </w:rPr>
              <w:t>7</w:t>
            </w:r>
            <w:r>
              <w:rPr>
                <w:rFonts w:hint="eastAsia" w:cs="宋体" w:asciiTheme="minorEastAsia" w:hAnsiTheme="minorEastAsia" w:eastAsiaTheme="minorEastAsia"/>
                <w:szCs w:val="21"/>
              </w:rPr>
              <w:t>次。</w:t>
            </w:r>
          </w:p>
          <w:p>
            <w:pPr>
              <w:spacing w:line="360" w:lineRule="auto"/>
              <w:ind w:firstLine="210" w:firstLineChars="100"/>
              <w:rPr>
                <w:rFonts w:cs="宋体" w:asciiTheme="minorEastAsia" w:hAnsiTheme="minorEastAsia" w:eastAsiaTheme="minorEastAsia"/>
                <w:szCs w:val="21"/>
              </w:rPr>
            </w:pPr>
            <w:r>
              <w:rPr>
                <w:rFonts w:hint="eastAsia" w:cs="宋体" w:asciiTheme="minorEastAsia" w:hAnsiTheme="minorEastAsia" w:eastAsiaTheme="minorEastAsia"/>
                <w:szCs w:val="21"/>
              </w:rPr>
              <w:t>抽查培训计划和培训记录。</w:t>
            </w:r>
          </w:p>
          <w:p>
            <w:pPr>
              <w:numPr>
                <w:ilvl w:val="0"/>
                <w:numId w:val="1"/>
              </w:numPr>
              <w:rPr>
                <w:rFonts w:asciiTheme="minorEastAsia" w:hAnsiTheme="minorEastAsia" w:eastAsiaTheme="minorEastAsia"/>
                <w:szCs w:val="21"/>
              </w:rPr>
            </w:pPr>
            <w:r>
              <w:rPr>
                <w:rFonts w:hint="eastAsia" w:cs="宋体" w:asciiTheme="minorEastAsia" w:hAnsiTheme="minorEastAsia" w:eastAsiaTheme="minorEastAsia"/>
                <w:szCs w:val="21"/>
              </w:rPr>
              <w:t>2019.</w:t>
            </w:r>
            <w:r>
              <w:rPr>
                <w:rFonts w:hint="eastAsia" w:cs="宋体" w:asciiTheme="minorEastAsia" w:hAnsiTheme="minorEastAsia" w:eastAsiaTheme="minorEastAsia"/>
                <w:szCs w:val="21"/>
                <w:lang w:val="en-US" w:eastAsia="zh-CN"/>
              </w:rPr>
              <w:t>9</w:t>
            </w:r>
            <w:r>
              <w:rPr>
                <w:rFonts w:hint="eastAsia" w:cs="宋体" w:asciiTheme="minorEastAsia" w:hAnsiTheme="minorEastAsia" w:eastAsiaTheme="minorEastAsia"/>
                <w:szCs w:val="21"/>
              </w:rPr>
              <w:t>.</w:t>
            </w:r>
            <w:r>
              <w:rPr>
                <w:rFonts w:cs="宋体" w:asciiTheme="minorEastAsia" w:hAnsiTheme="minorEastAsia" w:eastAsiaTheme="minorEastAsia"/>
                <w:szCs w:val="21"/>
              </w:rPr>
              <w:t>1</w:t>
            </w:r>
            <w:r>
              <w:rPr>
                <w:rFonts w:hint="eastAsia" w:cs="宋体" w:asciiTheme="minorEastAsia" w:hAnsiTheme="minorEastAsia" w:eastAsiaTheme="minorEastAsia"/>
                <w:szCs w:val="21"/>
                <w:lang w:val="en-US" w:eastAsia="zh-CN"/>
              </w:rPr>
              <w:t>2</w:t>
            </w:r>
            <w:r>
              <w:rPr>
                <w:rFonts w:hint="eastAsia" w:cs="宋体" w:asciiTheme="minorEastAsia" w:hAnsiTheme="minorEastAsia" w:eastAsiaTheme="minorEastAsia"/>
                <w:szCs w:val="21"/>
              </w:rPr>
              <w:t>培训《</w:t>
            </w:r>
            <w:r>
              <w:rPr>
                <w:rFonts w:hint="eastAsia" w:ascii="宋体" w:hAnsi="宋体"/>
              </w:rPr>
              <w:t>GB/T19001-2016、GB/T24001-2016、GB/T28001-2011标准讲解、内审员培训</w:t>
            </w:r>
            <w:r>
              <w:rPr>
                <w:rFonts w:hint="eastAsia" w:cs="宋体" w:asciiTheme="minorEastAsia" w:hAnsiTheme="minorEastAsia" w:eastAsiaTheme="minorEastAsia"/>
                <w:szCs w:val="21"/>
              </w:rPr>
              <w:t>》。</w:t>
            </w:r>
          </w:p>
          <w:p>
            <w:pPr>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培训方式：内部培训 </w:t>
            </w:r>
            <w:r>
              <w:rPr>
                <w:rFonts w:cs="宋体" w:asciiTheme="minorEastAsia" w:hAnsiTheme="minorEastAsia" w:eastAsiaTheme="minorEastAsia"/>
                <w:szCs w:val="21"/>
              </w:rPr>
              <w:t xml:space="preserve">   培训</w:t>
            </w:r>
            <w:r>
              <w:rPr>
                <w:rFonts w:hint="eastAsia" w:cs="宋体" w:asciiTheme="minorEastAsia" w:hAnsiTheme="minorEastAsia" w:eastAsiaTheme="minorEastAsia"/>
                <w:szCs w:val="21"/>
              </w:rPr>
              <w:t>老师：体系咨询师</w:t>
            </w:r>
          </w:p>
          <w:p>
            <w:pPr>
              <w:rPr>
                <w:rFonts w:asciiTheme="minorEastAsia" w:hAnsiTheme="minorEastAsia" w:eastAsiaTheme="minorEastAsia"/>
                <w:szCs w:val="21"/>
              </w:rPr>
            </w:pPr>
            <w:r>
              <w:rPr>
                <w:rFonts w:hint="eastAsia" w:cs="宋体" w:asciiTheme="minorEastAsia" w:hAnsiTheme="minorEastAsia" w:eastAsiaTheme="minorEastAsia"/>
                <w:szCs w:val="21"/>
              </w:rPr>
              <w:t>参加培训人员：</w:t>
            </w:r>
            <w:r>
              <w:rPr>
                <w:rFonts w:hint="eastAsia" w:ascii="宋体" w:hAnsi="宋体"/>
              </w:rPr>
              <w:t xml:space="preserve">卢慧 </w:t>
            </w:r>
            <w:r>
              <w:rPr>
                <w:rFonts w:ascii="宋体" w:hAnsi="宋体"/>
              </w:rPr>
              <w:t xml:space="preserve"> </w:t>
            </w:r>
            <w:r>
              <w:rPr>
                <w:rFonts w:hint="eastAsia" w:ascii="宋体" w:hAnsi="宋体"/>
              </w:rPr>
              <w:t xml:space="preserve">程广鹏  </w:t>
            </w:r>
            <w:r>
              <w:rPr>
                <w:rFonts w:ascii="宋体" w:hAnsi="宋体"/>
              </w:rPr>
              <w:t xml:space="preserve"> </w:t>
            </w:r>
            <w:r>
              <w:rPr>
                <w:rFonts w:hint="eastAsia" w:ascii="宋体" w:hAnsi="宋体"/>
              </w:rPr>
              <w:t>洪刚</w:t>
            </w:r>
            <w:r>
              <w:rPr>
                <w:rFonts w:hint="eastAsia" w:cs="宋体" w:asciiTheme="minorEastAsia" w:hAnsiTheme="minorEastAsia" w:eastAsiaTheme="minorEastAsia"/>
                <w:szCs w:val="21"/>
              </w:rPr>
              <w:t>等。</w:t>
            </w:r>
          </w:p>
          <w:p>
            <w:pPr>
              <w:rPr>
                <w:rFonts w:asciiTheme="minorEastAsia" w:hAnsiTheme="minorEastAsia" w:eastAsiaTheme="minorEastAsia"/>
                <w:szCs w:val="21"/>
              </w:rPr>
            </w:pPr>
            <w:r>
              <w:rPr>
                <w:rFonts w:asciiTheme="minorEastAsia" w:hAnsiTheme="minorEastAsia" w:eastAsiaTheme="minorEastAsia"/>
                <w:szCs w:val="21"/>
              </w:rPr>
              <w:t>经测试</w:t>
            </w:r>
            <w:r>
              <w:rPr>
                <w:rFonts w:hint="eastAsia" w:cs="宋体" w:asciiTheme="minorEastAsia" w:hAnsiTheme="minorEastAsia" w:eastAsiaTheme="minorEastAsia"/>
                <w:szCs w:val="21"/>
              </w:rPr>
              <w:t>确认均合格。</w:t>
            </w:r>
          </w:p>
          <w:p>
            <w:pPr>
              <w:rPr>
                <w:rFonts w:asciiTheme="minorEastAsia" w:hAnsiTheme="minorEastAsia" w:eastAsiaTheme="minorEastAsia"/>
                <w:szCs w:val="21"/>
              </w:rPr>
            </w:pPr>
            <w:r>
              <w:rPr>
                <w:rFonts w:hint="eastAsia" w:asciiTheme="minorEastAsia" w:hAnsiTheme="minorEastAsia" w:eastAsiaTheme="minorEastAsia"/>
                <w:szCs w:val="21"/>
              </w:rPr>
              <w:t>培训效果评价：通过此次培训，参加人员对基本了解</w:t>
            </w:r>
            <w:r>
              <w:rPr>
                <w:rFonts w:hint="eastAsia" w:cs="宋体" w:asciiTheme="minorEastAsia" w:hAnsiTheme="minorEastAsia" w:eastAsiaTheme="minorEastAsia"/>
                <w:szCs w:val="21"/>
              </w:rPr>
              <w:t>质量、环境及职业健康安全管理标准有了基本认识，明确了核心标准有那些，体系基础知识；管理体系文件</w:t>
            </w:r>
            <w:r>
              <w:rPr>
                <w:rFonts w:hint="eastAsia" w:asciiTheme="minorEastAsia" w:hAnsiTheme="minorEastAsia" w:eastAsiaTheme="minorEastAsia"/>
                <w:szCs w:val="21"/>
              </w:rPr>
              <w:t>，评价人：</w:t>
            </w:r>
            <w:r>
              <w:rPr>
                <w:rFonts w:hint="eastAsia" w:ascii="宋体" w:hAnsi="宋体"/>
              </w:rPr>
              <w:t>赵老师</w:t>
            </w:r>
            <w:r>
              <w:rPr>
                <w:rFonts w:hint="eastAsia" w:asciiTheme="minorEastAsia" w:hAnsiTheme="minorEastAsia" w:eastAsiaTheme="minorEastAsia"/>
                <w:szCs w:val="21"/>
              </w:rPr>
              <w:t>。</w:t>
            </w:r>
          </w:p>
          <w:p>
            <w:pPr>
              <w:numPr>
                <w:ilvl w:val="0"/>
                <w:numId w:val="1"/>
              </w:numPr>
              <w:rPr>
                <w:rFonts w:cs="宋体" w:asciiTheme="minorEastAsia" w:hAnsiTheme="minorEastAsia" w:eastAsiaTheme="minorEastAsia"/>
                <w:szCs w:val="21"/>
              </w:rPr>
            </w:pPr>
            <w:r>
              <w:rPr>
                <w:rFonts w:ascii="宋体" w:hAnsi="宋体"/>
              </w:rPr>
              <w:t>2019.11.19</w:t>
            </w:r>
            <w:r>
              <w:rPr>
                <w:rFonts w:hint="eastAsia" w:cs="宋体" w:asciiTheme="minorEastAsia" w:hAnsiTheme="minorEastAsia" w:eastAsiaTheme="minorEastAsia"/>
                <w:szCs w:val="21"/>
              </w:rPr>
              <w:t>培训</w:t>
            </w:r>
            <w:r>
              <w:rPr>
                <w:rFonts w:hint="eastAsia" w:asciiTheme="minorEastAsia" w:hAnsiTheme="minorEastAsia" w:eastAsiaTheme="minorEastAsia"/>
                <w:szCs w:val="21"/>
              </w:rPr>
              <w:t>《管理手册》《程序文件》</w:t>
            </w:r>
          </w:p>
          <w:p>
            <w:pPr>
              <w:rPr>
                <w:rFonts w:cs="宋体" w:asciiTheme="minorEastAsia" w:hAnsiTheme="minorEastAsia" w:eastAsiaTheme="minorEastAsia"/>
                <w:szCs w:val="21"/>
              </w:rPr>
            </w:pPr>
            <w:r>
              <w:rPr>
                <w:rFonts w:hint="eastAsia" w:cs="宋体" w:asciiTheme="minorEastAsia" w:hAnsiTheme="minorEastAsia" w:eastAsiaTheme="minorEastAsia"/>
                <w:szCs w:val="21"/>
              </w:rPr>
              <w:t>参加培训人员：</w:t>
            </w:r>
            <w:r>
              <w:rPr>
                <w:rFonts w:hint="eastAsia" w:ascii="宋体" w:hAnsi="宋体"/>
              </w:rPr>
              <w:t>全体员工</w:t>
            </w:r>
            <w:r>
              <w:rPr>
                <w:rFonts w:hint="eastAsia" w:cs="宋体" w:asciiTheme="minorEastAsia" w:hAnsiTheme="minorEastAsia" w:eastAsiaTheme="minorEastAsia"/>
                <w:szCs w:val="21"/>
              </w:rPr>
              <w:t>。</w:t>
            </w:r>
          </w:p>
          <w:p>
            <w:pPr>
              <w:numPr>
                <w:ilvl w:val="0"/>
                <w:numId w:val="0"/>
              </w:numPr>
              <w:rPr>
                <w:rFonts w:asciiTheme="minorEastAsia" w:hAnsiTheme="minorEastAsia" w:eastAsiaTheme="minorEastAsia"/>
                <w:szCs w:val="21"/>
              </w:rPr>
            </w:pPr>
            <w:r>
              <w:rPr>
                <w:rFonts w:hint="eastAsia" w:asciiTheme="minorEastAsia" w:hAnsiTheme="minorEastAsia" w:eastAsiaTheme="minorEastAsia"/>
                <w:szCs w:val="21"/>
              </w:rPr>
              <w:t>培训内容：</w:t>
            </w:r>
            <w:r>
              <w:rPr>
                <w:rFonts w:hint="eastAsia" w:ascii="宋体" w:hAnsi="宋体"/>
              </w:rPr>
              <w:t>体系文件的涵盖范围；标准对手册的要求；各职能部门在公司的管理体系要求中所主管的主要过程和相关过程；各职能部门如何按公司建立的管理体系文件实施；如何内审、如何管理评审</w:t>
            </w:r>
          </w:p>
          <w:p>
            <w:pPr>
              <w:rPr>
                <w:rFonts w:asciiTheme="minorEastAsia" w:hAnsiTheme="minorEastAsia" w:eastAsiaTheme="minorEastAsia"/>
                <w:szCs w:val="21"/>
              </w:rPr>
            </w:pPr>
            <w:r>
              <w:rPr>
                <w:rFonts w:hint="eastAsia" w:asciiTheme="minorEastAsia" w:hAnsiTheme="minorEastAsia" w:eastAsiaTheme="minorEastAsia"/>
                <w:szCs w:val="21"/>
              </w:rPr>
              <w:t>培训效果评价：通过此次培训，参加人员对基本了环境因素、危险源的识别及评价</w:t>
            </w:r>
            <w:r>
              <w:rPr>
                <w:rFonts w:hint="eastAsia" w:cs="宋体" w:asciiTheme="minorEastAsia" w:hAnsiTheme="minorEastAsia" w:eastAsiaTheme="minorEastAsia"/>
                <w:szCs w:val="21"/>
              </w:rPr>
              <w:t>；管理体系文件编写</w:t>
            </w:r>
            <w:r>
              <w:rPr>
                <w:rFonts w:hint="eastAsia" w:asciiTheme="minorEastAsia" w:hAnsiTheme="minorEastAsia" w:eastAsiaTheme="minorEastAsia"/>
                <w:szCs w:val="21"/>
              </w:rPr>
              <w:t>，评价人：张俊</w:t>
            </w:r>
          </w:p>
          <w:p>
            <w:pPr>
              <w:numPr>
                <w:ilvl w:val="0"/>
                <w:numId w:val="0"/>
              </w:numPr>
              <w:rPr>
                <w:rFonts w:hint="eastAsia" w:asciiTheme="minorEastAsia" w:hAnsiTheme="minorEastAsia" w:eastAsiaTheme="minorEastAsia"/>
                <w:szCs w:val="21"/>
              </w:rPr>
            </w:pPr>
            <w:r>
              <w:rPr>
                <w:rFonts w:hint="eastAsia" w:asciiTheme="minorEastAsia" w:hAnsiTheme="minorEastAsia" w:eastAsiaTheme="minorEastAsia"/>
                <w:szCs w:val="21"/>
              </w:rPr>
              <w:t>2019.12.15垃圾分类讲解</w:t>
            </w:r>
          </w:p>
          <w:p>
            <w:pPr>
              <w:numPr>
                <w:ilvl w:val="0"/>
                <w:numId w:val="0"/>
              </w:numPr>
              <w:rPr>
                <w:rFonts w:hint="eastAsia" w:asciiTheme="minorEastAsia" w:hAnsiTheme="minorEastAsia" w:eastAsiaTheme="minorEastAsia"/>
                <w:szCs w:val="21"/>
              </w:rPr>
            </w:pPr>
            <w:r>
              <w:rPr>
                <w:rFonts w:hint="eastAsia" w:asciiTheme="minorEastAsia" w:hAnsiTheme="minorEastAsia" w:eastAsiaTheme="minorEastAsia"/>
                <w:szCs w:val="21"/>
              </w:rPr>
              <w:t>培训人员：全体员工。</w:t>
            </w:r>
          </w:p>
          <w:p>
            <w:pPr>
              <w:numPr>
                <w:ilvl w:val="0"/>
                <w:numId w:val="0"/>
              </w:numPr>
              <w:rPr>
                <w:rFonts w:hint="eastAsia" w:asciiTheme="minorEastAsia" w:hAnsiTheme="minorEastAsia" w:eastAsiaTheme="minorEastAsia"/>
                <w:szCs w:val="21"/>
              </w:rPr>
            </w:pPr>
            <w:r>
              <w:rPr>
                <w:rFonts w:hint="eastAsia" w:asciiTheme="minorEastAsia" w:hAnsiTheme="minorEastAsia" w:eastAsiaTheme="minorEastAsia"/>
                <w:szCs w:val="21"/>
              </w:rPr>
              <w:t>培训内容：垃圾种类区分:可回收垃圾、不可回收垃圾；一般废弃物、危险废弃物。</w:t>
            </w:r>
          </w:p>
          <w:p>
            <w:pPr>
              <w:numPr>
                <w:ilvl w:val="0"/>
                <w:numId w:val="0"/>
              </w:numPr>
              <w:rPr>
                <w:rFonts w:hint="eastAsia" w:asciiTheme="minorEastAsia" w:hAnsiTheme="minorEastAsia" w:eastAsiaTheme="minorEastAsia"/>
                <w:szCs w:val="21"/>
              </w:rPr>
            </w:pPr>
            <w:r>
              <w:rPr>
                <w:rFonts w:hint="eastAsia" w:asciiTheme="minorEastAsia" w:hAnsiTheme="minorEastAsia" w:eastAsiaTheme="minorEastAsia"/>
                <w:szCs w:val="21"/>
              </w:rPr>
              <w:t>提问口试确认，均合格。</w:t>
            </w:r>
          </w:p>
          <w:p>
            <w:pPr>
              <w:numPr>
                <w:ilvl w:val="0"/>
                <w:numId w:val="0"/>
              </w:numPr>
              <w:rPr>
                <w:rFonts w:hint="eastAsia" w:asciiTheme="minorEastAsia" w:hAnsiTheme="minorEastAsia" w:eastAsiaTheme="minorEastAsia"/>
                <w:szCs w:val="21"/>
              </w:rPr>
            </w:pPr>
            <w:r>
              <w:rPr>
                <w:rFonts w:hint="eastAsia" w:asciiTheme="minorEastAsia" w:hAnsiTheme="minorEastAsia" w:eastAsiaTheme="minorEastAsia"/>
                <w:szCs w:val="21"/>
              </w:rPr>
              <w:t>培训效果评价：通过此次培训检测人员技术水平有了更进一步的提高。能独立检查分部分项工程</w:t>
            </w:r>
          </w:p>
          <w:p>
            <w:pPr>
              <w:numPr>
                <w:ilvl w:val="0"/>
                <w:numId w:val="0"/>
              </w:numPr>
              <w:rPr>
                <w:rFonts w:hint="eastAsia" w:asciiTheme="minorEastAsia" w:hAnsiTheme="minorEastAsia" w:eastAsiaTheme="minorEastAsia"/>
                <w:szCs w:val="21"/>
              </w:rPr>
            </w:pPr>
            <w:r>
              <w:rPr>
                <w:rFonts w:hint="eastAsia" w:asciiTheme="minorEastAsia" w:hAnsiTheme="minorEastAsia" w:eastAsiaTheme="minorEastAsia"/>
                <w:szCs w:val="21"/>
              </w:rPr>
              <w:t>评价人：赵老师</w:t>
            </w:r>
          </w:p>
          <w:p>
            <w:pPr>
              <w:numPr>
                <w:ilvl w:val="0"/>
                <w:numId w:val="0"/>
              </w:numPr>
              <w:rPr>
                <w:rFonts w:hint="eastAsia" w:asciiTheme="minorEastAsia" w:hAnsiTheme="minorEastAsia" w:eastAsiaTheme="minorEastAsia"/>
                <w:szCs w:val="21"/>
              </w:rPr>
            </w:pPr>
            <w:r>
              <w:rPr>
                <w:rFonts w:hint="eastAsia" w:asciiTheme="minorEastAsia" w:hAnsiTheme="minorEastAsia" w:eastAsiaTheme="minorEastAsia"/>
                <w:szCs w:val="21"/>
              </w:rPr>
              <w:t>其余培训计划均按时进行了培训。</w:t>
            </w:r>
          </w:p>
          <w:p>
            <w:pPr>
              <w:numPr>
                <w:ilvl w:val="0"/>
                <w:numId w:val="0"/>
              </w:numPr>
              <w:rPr>
                <w:rFonts w:hint="eastAsia" w:asciiTheme="minorEastAsia" w:hAnsiTheme="minorEastAsia" w:eastAsiaTheme="minorEastAsia"/>
                <w:szCs w:val="21"/>
              </w:rPr>
            </w:pPr>
            <w:r>
              <w:rPr>
                <w:rFonts w:hint="eastAsia" w:asciiTheme="minorEastAsia" w:hAnsiTheme="minorEastAsia" w:eastAsiaTheme="minorEastAsia"/>
                <w:szCs w:val="21"/>
              </w:rPr>
              <w:t>公司通过宣导、培训、制度约束等方式确保员工能意识到他们从事的活动的相关性及重要性，以及他们对贯彻方针、达成目标及实现QE的有效性的积极贡献，以及其不符合QE要求的后果。</w:t>
            </w:r>
          </w:p>
          <w:p>
            <w:pPr>
              <w:numPr>
                <w:ilvl w:val="0"/>
                <w:numId w:val="0"/>
              </w:numPr>
              <w:rPr>
                <w:rFonts w:hint="eastAsia" w:asciiTheme="minorEastAsia" w:hAnsiTheme="minorEastAsia" w:eastAsiaTheme="minorEastAsia"/>
                <w:szCs w:val="21"/>
              </w:rPr>
            </w:pPr>
            <w:r>
              <w:rPr>
                <w:rFonts w:hint="eastAsia" w:asciiTheme="minorEastAsia" w:hAnsiTheme="minorEastAsia" w:eastAsiaTheme="minorEastAsia"/>
                <w:szCs w:val="21"/>
              </w:rPr>
              <w:t>---经与员工沟通了解，基本具备以上必要</w:t>
            </w:r>
            <w:r>
              <w:rPr>
                <w:rFonts w:hint="eastAsia" w:asciiTheme="minorEastAsia" w:hAnsiTheme="minorEastAsia" w:eastAsiaTheme="minorEastAsia"/>
                <w:szCs w:val="21"/>
                <w:lang w:val="en-US" w:eastAsia="zh-CN"/>
              </w:rPr>
              <w:t>质量和</w:t>
            </w:r>
            <w:r>
              <w:rPr>
                <w:rFonts w:hint="eastAsia" w:asciiTheme="minorEastAsia" w:hAnsiTheme="minorEastAsia" w:eastAsiaTheme="minorEastAsia"/>
                <w:szCs w:val="21"/>
              </w:rPr>
              <w:t>环境管理体系相关意识。</w:t>
            </w:r>
          </w:p>
          <w:p>
            <w:pPr>
              <w:numPr>
                <w:ilvl w:val="0"/>
                <w:numId w:val="0"/>
              </w:numPr>
              <w:rPr>
                <w:rFonts w:asciiTheme="minorEastAsia" w:hAnsiTheme="minorEastAsia" w:eastAsiaTheme="minorEastAsia"/>
                <w:szCs w:val="21"/>
              </w:rPr>
            </w:pPr>
            <w:r>
              <w:rPr>
                <w:rFonts w:hint="eastAsia" w:asciiTheme="minorEastAsia" w:hAnsiTheme="minorEastAsia" w:eastAsiaTheme="minorEastAsia"/>
                <w:szCs w:val="21"/>
              </w:rPr>
              <w:t>---经与负责人沟通公司没有对员工职业发展和质量管理需要进行人力资源规划，与负责人沟</w:t>
            </w:r>
            <w:r>
              <w:rPr>
                <w:rFonts w:hint="eastAsia" w:cs="宋体" w:asciiTheme="minorEastAsia" w:hAnsiTheme="minorEastAsia" w:eastAsiaTheme="minorEastAsia"/>
                <w:szCs w:val="21"/>
              </w:rPr>
              <w:t>通后同意立即整改，在监督审核中察看；</w:t>
            </w:r>
          </w:p>
        </w:tc>
        <w:tc>
          <w:tcPr>
            <w:tcW w:w="1585" w:type="dxa"/>
          </w:tcPr>
          <w:p>
            <w:pP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2160" w:type="dxa"/>
            <w:vMerge w:val="continue"/>
          </w:tcPr>
          <w:p>
            <w:pPr>
              <w:adjustRightInd w:val="0"/>
              <w:snapToGrid w:val="0"/>
              <w:jc w:val="left"/>
              <w:rPr>
                <w:rFonts w:asciiTheme="minorEastAsia" w:hAnsiTheme="minorEastAsia" w:eastAsiaTheme="minorEastAsia"/>
                <w:szCs w:val="21"/>
              </w:rPr>
            </w:pPr>
          </w:p>
        </w:tc>
        <w:tc>
          <w:tcPr>
            <w:tcW w:w="960" w:type="dxa"/>
            <w:vMerge w:val="continue"/>
          </w:tcPr>
          <w:p>
            <w:pPr>
              <w:rPr>
                <w:rFonts w:asciiTheme="minorEastAsia" w:hAnsiTheme="minorEastAsia" w:eastAsiaTheme="minorEastAsia"/>
                <w:szCs w:val="21"/>
              </w:rPr>
            </w:pPr>
          </w:p>
        </w:tc>
        <w:tc>
          <w:tcPr>
            <w:tcW w:w="10004" w:type="dxa"/>
            <w:vMerge w:val="continue"/>
          </w:tcPr>
          <w:p>
            <w:pPr>
              <w:spacing w:line="400" w:lineRule="exact"/>
              <w:ind w:firstLine="420" w:firstLineChars="200"/>
              <w:jc w:val="left"/>
              <w:rPr>
                <w:rFonts w:asciiTheme="minorEastAsia" w:hAnsiTheme="minorEastAsia" w:eastAsiaTheme="minorEastAsia"/>
                <w:szCs w:val="21"/>
              </w:rPr>
            </w:pPr>
          </w:p>
        </w:tc>
        <w:tc>
          <w:tcPr>
            <w:tcW w:w="1585" w:type="dxa"/>
          </w:tcPr>
          <w:p>
            <w:pPr>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b/>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2160" w:type="dxa"/>
          </w:tcPr>
          <w:p>
            <w:pPr>
              <w:adjustRightInd w:val="0"/>
              <w:snapToGrid w:val="0"/>
              <w:jc w:val="left"/>
              <w:rPr>
                <w:rFonts w:asciiTheme="minorEastAsia" w:hAnsiTheme="minorEastAsia" w:eastAsiaTheme="minorEastAsia"/>
                <w:szCs w:val="21"/>
              </w:rPr>
            </w:pPr>
            <w:r>
              <w:rPr>
                <w:rFonts w:hint="eastAsia" w:cs="宋体" w:asciiTheme="minorEastAsia" w:hAnsiTheme="minorEastAsia" w:eastAsiaTheme="minorEastAsia"/>
                <w:szCs w:val="21"/>
              </w:rPr>
              <w:t>沟通</w:t>
            </w:r>
          </w:p>
        </w:tc>
        <w:tc>
          <w:tcPr>
            <w:tcW w:w="960" w:type="dxa"/>
          </w:tcPr>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QE7.4 </w:t>
            </w:r>
          </w:p>
          <w:p>
            <w:pPr>
              <w:rPr>
                <w:rFonts w:asciiTheme="minorEastAsia" w:hAnsiTheme="minorEastAsia" w:eastAsiaTheme="minorEastAsia"/>
                <w:szCs w:val="21"/>
              </w:rPr>
            </w:pPr>
          </w:p>
        </w:tc>
        <w:tc>
          <w:tcPr>
            <w:tcW w:w="10004" w:type="dxa"/>
          </w:tcPr>
          <w:p>
            <w:pPr>
              <w:numPr>
                <w:ilvl w:val="0"/>
                <w:numId w:val="0"/>
              </w:numPr>
              <w:rPr>
                <w:rFonts w:hint="eastAsia"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编制</w:t>
            </w:r>
            <w:r>
              <w:rPr>
                <w:rFonts w:hint="eastAsia" w:cs="宋体" w:asciiTheme="minorEastAsia" w:hAnsiTheme="minorEastAsia" w:eastAsiaTheme="minorEastAsia"/>
                <w:szCs w:val="21"/>
              </w:rPr>
              <w:t>《</w:t>
            </w:r>
            <w:r>
              <w:rPr>
                <w:rFonts w:hint="eastAsia" w:asciiTheme="minorEastAsia" w:hAnsiTheme="minorEastAsia" w:eastAsiaTheme="minorEastAsia"/>
                <w:szCs w:val="21"/>
                <w:lang w:val="en-US" w:eastAsia="zh-CN"/>
              </w:rPr>
              <w:t>信息交流、协商和沟通控制程序 》规定了公司内外信息交流、协商的对象、方式、记录等。</w:t>
            </w:r>
          </w:p>
          <w:p>
            <w:pPr>
              <w:numPr>
                <w:ilvl w:val="0"/>
                <w:numId w:val="0"/>
              </w:numP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对部门之间有需要交流的有关安全健康管理信息，在公司内部利用部门会议、宣传栏进行安全管理方针及目标、指标、管理方案及环保法律法规等内容的宣传、沟通。</w:t>
            </w:r>
          </w:p>
          <w:p>
            <w:pPr>
              <w:numPr>
                <w:ilvl w:val="0"/>
                <w:numId w:val="0"/>
              </w:numP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 xml:space="preserve">  公司员工参与协商，员工提出参与安全知识的学习和培训，需要发放劳保用品。</w:t>
            </w:r>
          </w:p>
          <w:p>
            <w:pPr>
              <w:numPr>
                <w:ilvl w:val="0"/>
                <w:numId w:val="0"/>
              </w:numP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查见内部交流主要通过直接面谈、会议、文件、培训方式，也可以通过工会等员工权益机构提出诉求。</w:t>
            </w:r>
          </w:p>
          <w:p>
            <w:pPr>
              <w:numPr>
                <w:ilvl w:val="0"/>
                <w:numId w:val="0"/>
              </w:numP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外部交流主要通过电话、信函方式与沟通对象包括：政府（安全管理机构、环境监督管理局、城管、银行、客户、供方、监理方等。</w:t>
            </w:r>
          </w:p>
          <w:p>
            <w:pPr>
              <w:numPr>
                <w:ilvl w:val="0"/>
                <w:numId w:val="0"/>
              </w:numP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查见：公司内部会议记录表，沟通信息包括：</w:t>
            </w:r>
          </w:p>
          <w:p>
            <w:pPr>
              <w:numPr>
                <w:ilvl w:val="0"/>
                <w:numId w:val="0"/>
              </w:numP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告知员工：管理者代表是卢慧。</w:t>
            </w:r>
          </w:p>
          <w:p>
            <w:pPr>
              <w:numPr>
                <w:ilvl w:val="0"/>
                <w:numId w:val="0"/>
              </w:numP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告知员工：质量和环境管理体系建立的依据、标准和意义，因公司在服务过程中涉及相关内容，故对相关方出具告知书。</w:t>
            </w:r>
          </w:p>
          <w:p>
            <w:pPr>
              <w:numPr>
                <w:ilvl w:val="0"/>
                <w:numId w:val="0"/>
              </w:numP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组织员工学习：质量和环境管理有关的法律法规，包括《环境保护法》、《劳动合同法》等关内容；</w:t>
            </w:r>
          </w:p>
          <w:p>
            <w:pPr>
              <w:numPr>
                <w:ilvl w:val="0"/>
                <w:numId w:val="0"/>
              </w:numP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2）将环境管理要求和意义作为新员工岗前培训内容。</w:t>
            </w:r>
          </w:p>
          <w:p>
            <w:pPr>
              <w:numPr>
                <w:ilvl w:val="0"/>
                <w:numId w:val="0"/>
              </w:numPr>
              <w:rPr>
                <w:rFonts w:asciiTheme="minorEastAsia" w:hAnsiTheme="minorEastAsia" w:eastAsiaTheme="minorEastAsia"/>
                <w:szCs w:val="21"/>
              </w:rPr>
            </w:pPr>
            <w:r>
              <w:rPr>
                <w:rFonts w:hint="eastAsia" w:asciiTheme="minorEastAsia" w:hAnsiTheme="minorEastAsia" w:eastAsiaTheme="minorEastAsia"/>
                <w:szCs w:val="21"/>
              </w:rPr>
              <w:t>审核时未发现有相关方投诉等安全违规情况发生。</w:t>
            </w:r>
          </w:p>
        </w:tc>
        <w:tc>
          <w:tcPr>
            <w:tcW w:w="1585" w:type="dxa"/>
          </w:tcPr>
          <w:p>
            <w:pP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160" w:type="dxa"/>
          </w:tcPr>
          <w:p>
            <w:pPr>
              <w:adjustRightInd w:val="0"/>
              <w:snapToGrid w:val="0"/>
              <w:jc w:val="left"/>
              <w:rPr>
                <w:rFonts w:cs="宋体" w:asciiTheme="minorEastAsia" w:hAnsiTheme="minorEastAsia" w:eastAsiaTheme="minorEastAsia"/>
                <w:szCs w:val="21"/>
              </w:rPr>
            </w:pPr>
            <w:r>
              <w:rPr>
                <w:rFonts w:hint="eastAsia" w:cs="新宋体" w:asciiTheme="minorEastAsia" w:hAnsiTheme="minorEastAsia" w:eastAsiaTheme="minorEastAsia"/>
                <w:szCs w:val="21"/>
              </w:rPr>
              <w:t>文件化信息</w:t>
            </w:r>
          </w:p>
        </w:tc>
        <w:tc>
          <w:tcPr>
            <w:tcW w:w="960" w:type="dxa"/>
          </w:tcPr>
          <w:p>
            <w:pPr>
              <w:rPr>
                <w:rFonts w:asciiTheme="minorEastAsia" w:hAnsiTheme="minorEastAsia" w:eastAsiaTheme="minorEastAsia"/>
                <w:szCs w:val="21"/>
              </w:rPr>
            </w:pPr>
            <w:r>
              <w:rPr>
                <w:rFonts w:hint="eastAsia" w:asciiTheme="minorEastAsia" w:hAnsiTheme="minorEastAsia" w:eastAsiaTheme="minorEastAsia"/>
                <w:szCs w:val="21"/>
              </w:rPr>
              <w:t>Q7.1.6</w:t>
            </w:r>
          </w:p>
          <w:p>
            <w:pPr>
              <w:spacing w:before="25" w:after="25"/>
              <w:rPr>
                <w:rFonts w:asciiTheme="minorEastAsia" w:hAnsiTheme="minorEastAsia" w:eastAsiaTheme="minorEastAsia"/>
                <w:szCs w:val="21"/>
              </w:rPr>
            </w:pPr>
            <w:r>
              <w:rPr>
                <w:rFonts w:asciiTheme="minorEastAsia" w:hAnsiTheme="minorEastAsia" w:eastAsiaTheme="minorEastAsia"/>
                <w:szCs w:val="21"/>
              </w:rPr>
              <w:t>E7.1</w:t>
            </w:r>
          </w:p>
          <w:p>
            <w:pPr>
              <w:rPr>
                <w:rFonts w:cs="新宋体" w:asciiTheme="minorEastAsia" w:hAnsiTheme="minorEastAsia" w:eastAsiaTheme="minorEastAsia"/>
                <w:szCs w:val="21"/>
              </w:rPr>
            </w:pPr>
            <w:r>
              <w:rPr>
                <w:rFonts w:hint="eastAsia" w:cs="新宋体" w:asciiTheme="minorEastAsia" w:hAnsiTheme="minorEastAsia" w:eastAsiaTheme="minorEastAsia"/>
                <w:szCs w:val="21"/>
              </w:rPr>
              <w:t>QE7.5</w:t>
            </w:r>
          </w:p>
          <w:p>
            <w:pPr>
              <w:pStyle w:val="2"/>
              <w:rPr>
                <w:rFonts w:asciiTheme="minorEastAsia" w:hAnsiTheme="minorEastAsia" w:eastAsiaTheme="minorEastAsia"/>
                <w:szCs w:val="21"/>
              </w:rPr>
            </w:pPr>
          </w:p>
        </w:tc>
        <w:tc>
          <w:tcPr>
            <w:tcW w:w="10004" w:type="dxa"/>
          </w:tcPr>
          <w:p>
            <w:pPr>
              <w:numPr>
                <w:ilvl w:val="0"/>
                <w:numId w:val="0"/>
              </w:numP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编制《成文信息控制程序》，体系文件生效实施日期为2019年9月10日，文件规定了质量、环境管理文件的编制、审批、评审、编号、回收、发放、更改、换版、作废等的管理和控制。根据一阶段问题清单进行了对《管理手册》和程序文件的修改和完善。</w:t>
            </w:r>
          </w:p>
          <w:p>
            <w:pPr>
              <w:numPr>
                <w:ilvl w:val="0"/>
                <w:numId w:val="0"/>
              </w:numP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查《体系受控文件清单》，包括管理手册、管理制度等，另有公司制定的《应急预案汇编》、《工程作业指导书》、《管理制度》《操作规程》等文件。</w:t>
            </w:r>
          </w:p>
          <w:p>
            <w:pPr>
              <w:numPr>
                <w:ilvl w:val="0"/>
                <w:numId w:val="0"/>
              </w:numP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管理手册文件编号：BZQ-QES-01A/0版</w:t>
            </w:r>
          </w:p>
          <w:p>
            <w:pPr>
              <w:numPr>
                <w:ilvl w:val="0"/>
                <w:numId w:val="0"/>
              </w:numP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 xml:space="preserve">程序文件编号：BZQ-CX-2019,01-30A/0版  </w:t>
            </w:r>
          </w:p>
          <w:p>
            <w:pPr>
              <w:numPr>
                <w:ilvl w:val="0"/>
                <w:numId w:val="0"/>
              </w:numP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管理制度编号BN-QW-2019</w:t>
            </w:r>
          </w:p>
          <w:p>
            <w:pPr>
              <w:numPr>
                <w:ilvl w:val="0"/>
                <w:numId w:val="0"/>
              </w:numP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实施日期为2019年9月10日</w:t>
            </w:r>
          </w:p>
          <w:p>
            <w:pPr>
              <w:pStyle w:val="2"/>
              <w:rPr>
                <w:rFonts w:hint="eastAsia"/>
                <w:lang w:val="en-US" w:eastAsia="zh-CN"/>
              </w:rPr>
            </w:pPr>
            <w:r>
              <w:rPr>
                <w:rFonts w:hint="eastAsia" w:asciiTheme="minorEastAsia" w:hAnsiTheme="minorEastAsia" w:eastAsiaTheme="minorEastAsia"/>
                <w:szCs w:val="21"/>
                <w:lang w:val="en-US" w:eastAsia="zh-CN"/>
              </w:rPr>
              <w:t>编制：综合部   审核：卢慧    批准：张峰</w:t>
            </w:r>
          </w:p>
          <w:p>
            <w:pPr>
              <w:numPr>
                <w:ilvl w:val="0"/>
                <w:numId w:val="0"/>
              </w:numP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查：《文件发放、回收登记表》，抽查文件发放情况，有收文、发文的确认签字，符合文件发放规定。</w:t>
            </w:r>
          </w:p>
          <w:p>
            <w:pPr>
              <w:numPr>
                <w:ilvl w:val="0"/>
                <w:numId w:val="0"/>
              </w:numP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查外来文件：提供了外来文件清单，见附件。</w:t>
            </w:r>
          </w:p>
          <w:p>
            <w:pPr>
              <w:numPr>
                <w:ilvl w:val="0"/>
                <w:numId w:val="0"/>
              </w:numP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内容有国家和地方与质量、环境管理体系相关适用法律法规。</w:t>
            </w:r>
          </w:p>
          <w:p>
            <w:pPr>
              <w:numPr>
                <w:ilvl w:val="0"/>
                <w:numId w:val="0"/>
              </w:numP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文件资料基本满足岗位工作需要，并为现行有效版本。</w:t>
            </w:r>
          </w:p>
          <w:p>
            <w:pPr>
              <w:numPr>
                <w:ilvl w:val="0"/>
                <w:numId w:val="0"/>
              </w:numP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查文件的评审及更新：管理评审时对文件的适宜性及可操作性进行评审：适宜、可操作。</w:t>
            </w:r>
          </w:p>
          <w:p>
            <w:pPr>
              <w:numPr>
                <w:ilvl w:val="0"/>
                <w:numId w:val="0"/>
              </w:numP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查文件的作废：暂无作废文件。</w:t>
            </w:r>
          </w:p>
          <w:p>
            <w:pPr>
              <w:numPr>
                <w:ilvl w:val="0"/>
                <w:numId w:val="0"/>
              </w:numP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电子文档需要责任部门留下发放记录，并告知换页处置要求。</w:t>
            </w:r>
          </w:p>
          <w:p>
            <w:pPr>
              <w:numPr>
                <w:ilvl w:val="0"/>
                <w:numId w:val="0"/>
              </w:numP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文件按需求和公司管理规定发放至有关部门和人员，查有发放记录，符合。</w:t>
            </w:r>
          </w:p>
          <w:p>
            <w:pPr>
              <w:numPr>
                <w:ilvl w:val="0"/>
                <w:numId w:val="0"/>
              </w:numP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编制《成文信息控制程序》，对记录表单的设计、编号、填写、贮存、保管、保护、检索、保存期限、到期处置等方面规定了要求并按此程序控制。</w:t>
            </w:r>
          </w:p>
          <w:p>
            <w:pPr>
              <w:numPr>
                <w:ilvl w:val="0"/>
                <w:numId w:val="0"/>
              </w:numP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提供记录文件清单，规定了记录的名称、编号、责任部门、保存期限等内容。</w:t>
            </w:r>
          </w:p>
          <w:p>
            <w:pPr>
              <w:numPr>
                <w:ilvl w:val="0"/>
                <w:numId w:val="0"/>
              </w:numP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核对标准规定的应保留的记录和保存期限，标准所规定的记录均涵盖，保存期限规定的合理。</w:t>
            </w:r>
          </w:p>
          <w:p>
            <w:pPr>
              <w:numPr>
                <w:ilvl w:val="0"/>
                <w:numId w:val="0"/>
              </w:numP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记录清单中对记录的管理、控制进行明确的分工。综合部主要负责归档公司质量、环境管理的标识、编目、保管、贮存，负责本程序的归口管理。见综合部保管的记录：</w:t>
            </w:r>
          </w:p>
          <w:p>
            <w:pPr>
              <w:numPr>
                <w:ilvl w:val="0"/>
                <w:numId w:val="0"/>
              </w:numP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a. 法律、法规及其他要求清单；</w:t>
            </w:r>
          </w:p>
          <w:p>
            <w:pPr>
              <w:numPr>
                <w:ilvl w:val="0"/>
                <w:numId w:val="0"/>
              </w:numP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b.年度培训计划等记录；</w:t>
            </w:r>
          </w:p>
          <w:p>
            <w:pPr>
              <w:numPr>
                <w:ilvl w:val="0"/>
                <w:numId w:val="0"/>
              </w:numP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c.管理评审计划等记录；</w:t>
            </w:r>
          </w:p>
          <w:p>
            <w:pPr>
              <w:numPr>
                <w:ilvl w:val="0"/>
                <w:numId w:val="0"/>
              </w:numP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d. 危险源辨识及风险评价台帐；</w:t>
            </w:r>
          </w:p>
          <w:p>
            <w:pPr>
              <w:numPr>
                <w:ilvl w:val="0"/>
                <w:numId w:val="0"/>
              </w:numP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e. 质量目标完成情况统计表；</w:t>
            </w:r>
          </w:p>
          <w:p>
            <w:pPr>
              <w:numPr>
                <w:ilvl w:val="0"/>
                <w:numId w:val="0"/>
              </w:numPr>
              <w:rPr>
                <w:rFonts w:cs="宋体" w:asciiTheme="minorEastAsia" w:hAnsiTheme="minorEastAsia" w:eastAsiaTheme="minorEastAsia"/>
                <w:szCs w:val="21"/>
              </w:rPr>
            </w:pPr>
            <w:r>
              <w:rPr>
                <w:rFonts w:hint="eastAsia" w:asciiTheme="minorEastAsia" w:hAnsiTheme="minorEastAsia" w:eastAsiaTheme="minorEastAsia"/>
                <w:szCs w:val="21"/>
                <w:lang w:val="en-US" w:eastAsia="zh-CN"/>
              </w:rPr>
              <w:t>所见记录反映综合部能够按照记录控制要求进行管理，记录保存完整，填写清晰、工整。记录控制符合要求</w:t>
            </w:r>
            <w:r>
              <w:rPr>
                <w:rFonts w:hint="eastAsia" w:cs="宋体" w:asciiTheme="minorEastAsia" w:hAnsiTheme="minorEastAsia" w:eastAsiaTheme="minorEastAsia"/>
                <w:szCs w:val="21"/>
              </w:rPr>
              <w:t>。</w:t>
            </w:r>
          </w:p>
        </w:tc>
        <w:tc>
          <w:tcPr>
            <w:tcW w:w="1585" w:type="dxa"/>
          </w:tcPr>
          <w:p>
            <w:pP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2160" w:type="dxa"/>
          </w:tcPr>
          <w:p>
            <w:pPr>
              <w:adjustRightInd w:val="0"/>
              <w:snapToGrid w:val="0"/>
              <w:jc w:val="left"/>
              <w:rPr>
                <w:rFonts w:cs="新宋体" w:asciiTheme="minorEastAsia" w:hAnsiTheme="minorEastAsia" w:eastAsiaTheme="minorEastAsia"/>
                <w:szCs w:val="21"/>
              </w:rPr>
            </w:pPr>
            <w:r>
              <w:rPr>
                <w:rFonts w:hint="eastAsia" w:cs="新宋体" w:asciiTheme="minorEastAsia" w:hAnsiTheme="minorEastAsia" w:eastAsiaTheme="minorEastAsia"/>
                <w:szCs w:val="21"/>
              </w:rPr>
              <w:t>环境因素</w:t>
            </w:r>
          </w:p>
          <w:p>
            <w:pPr>
              <w:adjustRightInd w:val="0"/>
              <w:snapToGrid w:val="0"/>
              <w:jc w:val="left"/>
              <w:rPr>
                <w:rFonts w:cs="新宋体" w:asciiTheme="minorEastAsia" w:hAnsiTheme="minorEastAsia" w:eastAsiaTheme="minorEastAsia"/>
                <w:szCs w:val="21"/>
              </w:rPr>
            </w:pPr>
            <w:r>
              <w:rPr>
                <w:rFonts w:hint="eastAsia" w:cs="新宋体" w:asciiTheme="minorEastAsia" w:hAnsiTheme="minorEastAsia" w:eastAsiaTheme="minorEastAsia"/>
                <w:szCs w:val="21"/>
              </w:rPr>
              <w:t>危险源识别、评价与控制措施</w:t>
            </w:r>
          </w:p>
        </w:tc>
        <w:tc>
          <w:tcPr>
            <w:tcW w:w="960" w:type="dxa"/>
          </w:tcPr>
          <w:p>
            <w:pPr>
              <w:rPr>
                <w:rFonts w:hint="eastAsia" w:cs="新宋体" w:asciiTheme="minorEastAsia" w:hAnsiTheme="minorEastAsia" w:eastAsiaTheme="minorEastAsia"/>
                <w:szCs w:val="21"/>
              </w:rPr>
            </w:pPr>
            <w:r>
              <w:rPr>
                <w:rFonts w:hint="eastAsia" w:cs="新宋体" w:asciiTheme="minorEastAsia" w:hAnsiTheme="minorEastAsia" w:eastAsiaTheme="minorEastAsia"/>
                <w:szCs w:val="21"/>
              </w:rPr>
              <w:t>E6.1.2</w:t>
            </w:r>
          </w:p>
          <w:p>
            <w:pPr>
              <w:rPr>
                <w:rFonts w:cs="新宋体" w:asciiTheme="minorEastAsia" w:hAnsiTheme="minorEastAsia" w:eastAsiaTheme="minorEastAsia"/>
                <w:szCs w:val="21"/>
              </w:rPr>
            </w:pPr>
            <w:r>
              <w:rPr>
                <w:rFonts w:hint="eastAsia" w:cs="新宋体" w:asciiTheme="minorEastAsia" w:hAnsiTheme="minorEastAsia" w:eastAsiaTheme="minorEastAsia"/>
                <w:szCs w:val="21"/>
                <w:lang w:val="en-US" w:eastAsia="zh-CN"/>
              </w:rPr>
              <w:t>6.1.4</w:t>
            </w:r>
            <w:r>
              <w:rPr>
                <w:rFonts w:hint="eastAsia" w:cs="新宋体" w:asciiTheme="minorEastAsia" w:hAnsiTheme="minorEastAsia" w:eastAsiaTheme="minorEastAsia"/>
                <w:szCs w:val="21"/>
              </w:rPr>
              <w:t xml:space="preserve"> </w:t>
            </w:r>
            <w:r>
              <w:rPr>
                <w:rFonts w:cs="新宋体" w:asciiTheme="minorEastAsia" w:hAnsiTheme="minorEastAsia" w:eastAsiaTheme="minorEastAsia"/>
                <w:szCs w:val="21"/>
              </w:rPr>
              <w:t>/6.2</w:t>
            </w:r>
          </w:p>
          <w:p>
            <w:pPr>
              <w:rPr>
                <w:rFonts w:cs="新宋体" w:asciiTheme="minorEastAsia" w:hAnsiTheme="minorEastAsia" w:eastAsiaTheme="minorEastAsia"/>
                <w:szCs w:val="21"/>
              </w:rPr>
            </w:pPr>
          </w:p>
        </w:tc>
        <w:tc>
          <w:tcPr>
            <w:tcW w:w="10004" w:type="dxa"/>
          </w:tcPr>
          <w:p>
            <w:pPr>
              <w:numPr>
                <w:ilvl w:val="0"/>
                <w:numId w:val="0"/>
              </w:numP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编制《环境因素识别与评价控制程序》，内容包括环境因素、危险源的识别、评价、汇总；重要环境因素和不可接受风险的控制。</w:t>
            </w:r>
          </w:p>
          <w:p>
            <w:pPr>
              <w:numPr>
                <w:ilvl w:val="0"/>
                <w:numId w:val="0"/>
              </w:numP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识别环境因素：58项，油料消耗、噪声排放、火灾的发生、污水、污泥的排放、废灯管的废弃、电的消耗、用电等产生的固废排放、火灾的发生，生活污水排放，办公用电，噪声；</w:t>
            </w:r>
          </w:p>
          <w:p>
            <w:pPr>
              <w:numPr>
                <w:ilvl w:val="0"/>
                <w:numId w:val="0"/>
              </w:numP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评价重要环境因素有以下5项：</w:t>
            </w:r>
          </w:p>
          <w:p>
            <w:pPr>
              <w:numPr>
                <w:ilvl w:val="0"/>
                <w:numId w:val="0"/>
              </w:numP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固废排放、火灾的发生，生活污水排放，办公用电，噪声。</w:t>
            </w:r>
          </w:p>
          <w:p>
            <w:pPr>
              <w:numPr>
                <w:ilvl w:val="0"/>
                <w:numId w:val="0"/>
              </w:numP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抽查以下重要环境因素、不可接受风险的管理措施：</w:t>
            </w:r>
          </w:p>
          <w:p>
            <w:pPr>
              <w:numPr>
                <w:ilvl w:val="0"/>
                <w:numId w:val="0"/>
              </w:numP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1、固废(含危废)排放</w:t>
            </w:r>
          </w:p>
          <w:p>
            <w:pPr>
              <w:numPr>
                <w:ilvl w:val="0"/>
                <w:numId w:val="0"/>
              </w:numP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目标：控制固废(含危废)排放  指标：固废(含危废)有效回收率≥95%</w:t>
            </w:r>
          </w:p>
          <w:p>
            <w:pPr>
              <w:numPr>
                <w:ilvl w:val="0"/>
                <w:numId w:val="0"/>
              </w:numP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实施部门：工程部完成日期：施工全过程 检查部门：综合部</w:t>
            </w:r>
          </w:p>
          <w:p>
            <w:pPr>
              <w:numPr>
                <w:ilvl w:val="0"/>
                <w:numId w:val="0"/>
              </w:numP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管理措施：</w:t>
            </w:r>
          </w:p>
          <w:p>
            <w:pPr>
              <w:numPr>
                <w:ilvl w:val="0"/>
                <w:numId w:val="0"/>
              </w:numP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可再利用的物资进行回收</w:t>
            </w:r>
          </w:p>
          <w:p>
            <w:pPr>
              <w:numPr>
                <w:ilvl w:val="0"/>
                <w:numId w:val="0"/>
              </w:numP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生活垃圾交环卫公司清运、处理</w:t>
            </w:r>
          </w:p>
          <w:p>
            <w:pPr>
              <w:numPr>
                <w:ilvl w:val="0"/>
                <w:numId w:val="0"/>
              </w:numP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危险固废物交由有资质的单位处理</w:t>
            </w:r>
          </w:p>
          <w:p>
            <w:pPr>
              <w:numPr>
                <w:ilvl w:val="0"/>
                <w:numId w:val="0"/>
              </w:numP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2、火灾的发生</w:t>
            </w:r>
          </w:p>
          <w:p>
            <w:pPr>
              <w:numPr>
                <w:ilvl w:val="0"/>
                <w:numId w:val="0"/>
              </w:numP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目标：控制火灾事故  指标：重大火灾事故为0</w:t>
            </w:r>
          </w:p>
          <w:p>
            <w:pPr>
              <w:numPr>
                <w:ilvl w:val="0"/>
                <w:numId w:val="0"/>
              </w:numP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实施部门：工程部完成日期：施工全过程 检查部门：综合部</w:t>
            </w:r>
          </w:p>
          <w:p>
            <w:pPr>
              <w:numPr>
                <w:ilvl w:val="0"/>
                <w:numId w:val="0"/>
              </w:numP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1）操作人员应培训合格，持证上岗；</w:t>
            </w:r>
          </w:p>
          <w:p>
            <w:pPr>
              <w:numPr>
                <w:ilvl w:val="0"/>
                <w:numId w:val="0"/>
              </w:numP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2）氧气、乙炔、氢气瓶应分别放在专用仓库内，并保持干燥、通风、阴凉，避免阳光爆晒；</w:t>
            </w:r>
          </w:p>
          <w:p>
            <w:pPr>
              <w:numPr>
                <w:ilvl w:val="0"/>
                <w:numId w:val="0"/>
              </w:numP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3）立放时应有防倾倒措施，使用时氧气、乙炔、氢气瓶应保持5米以上的安全距离，电、气焊作业周围严禁存放易燃易爆品，并通风良好；气瓶与明火的距离不小于15米；</w:t>
            </w:r>
          </w:p>
          <w:p>
            <w:pPr>
              <w:numPr>
                <w:ilvl w:val="0"/>
                <w:numId w:val="0"/>
              </w:numP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4）氧气、乙炔、氢气瓶严禁同车装运，严禁与易燃易爆品混装，装车时，应头朝一侧捆绑牢固，装卸时轻拿轻放，严禁滚动抛掷；卸车现场配备消防器材。</w:t>
            </w:r>
          </w:p>
          <w:p>
            <w:pPr>
              <w:numPr>
                <w:ilvl w:val="0"/>
                <w:numId w:val="0"/>
              </w:numP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5）公司非吸烟区域严禁吸烟；</w:t>
            </w:r>
          </w:p>
          <w:p>
            <w:pPr>
              <w:numPr>
                <w:ilvl w:val="0"/>
                <w:numId w:val="0"/>
              </w:numP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6）火灾爆炸应急预案，开展消防演习。</w:t>
            </w:r>
          </w:p>
          <w:p>
            <w:pPr>
              <w:numPr>
                <w:ilvl w:val="0"/>
                <w:numId w:val="0"/>
              </w:numP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3.办公用电</w:t>
            </w:r>
          </w:p>
          <w:p>
            <w:pPr>
              <w:numPr>
                <w:ilvl w:val="0"/>
                <w:numId w:val="0"/>
              </w:numP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实施部门：工程部完成日期：施工全过程 检查部门：综合部</w:t>
            </w:r>
          </w:p>
          <w:p>
            <w:pPr>
              <w:numPr>
                <w:ilvl w:val="0"/>
                <w:numId w:val="0"/>
              </w:numP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1）做好对外电的防护工作，保持安全间距和防护措施；</w:t>
            </w:r>
          </w:p>
          <w:p>
            <w:pPr>
              <w:numPr>
                <w:ilvl w:val="0"/>
                <w:numId w:val="0"/>
              </w:numP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2）做好用电设备运行前检查工作，加强日常维护防护工作</w:t>
            </w:r>
          </w:p>
          <w:p>
            <w:pPr>
              <w:numPr>
                <w:ilvl w:val="0"/>
                <w:numId w:val="0"/>
              </w:numP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3）做好用电管理，有动力线和照明线的电箱、电缆全部使用三相五线制；</w:t>
            </w:r>
          </w:p>
          <w:p>
            <w:pPr>
              <w:numPr>
                <w:ilvl w:val="0"/>
                <w:numId w:val="0"/>
              </w:numP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应对风险和机遇的措施应与其对于产品和服务符合性的潜在影响相适应。</w:t>
            </w:r>
          </w:p>
          <w:p>
            <w:pPr>
              <w:numPr>
                <w:ilvl w:val="0"/>
                <w:numId w:val="0"/>
              </w:numPr>
              <w:rPr>
                <w:rFonts w:cs="宋体" w:asciiTheme="minorEastAsia" w:hAnsiTheme="minorEastAsia" w:eastAsiaTheme="minorEastAsia"/>
                <w:szCs w:val="21"/>
              </w:rPr>
            </w:pPr>
            <w:r>
              <w:rPr>
                <w:rFonts w:hint="eastAsia" w:asciiTheme="minorEastAsia" w:hAnsiTheme="minorEastAsia" w:eastAsiaTheme="minorEastAsia"/>
                <w:szCs w:val="21"/>
                <w:lang w:val="en-US" w:eastAsia="zh-CN"/>
              </w:rPr>
              <w:t>制定了管理方案没有落实管控资金预算危险源辨识基本充分、风险等级评价基本合理。</w:t>
            </w:r>
          </w:p>
        </w:tc>
        <w:tc>
          <w:tcPr>
            <w:tcW w:w="1585" w:type="dxa"/>
          </w:tcPr>
          <w:p>
            <w:pPr>
              <w:rPr>
                <w:rFonts w:asciiTheme="minorEastAsia" w:hAnsiTheme="minorEastAsia" w:eastAsiaTheme="minorEastAsia"/>
                <w:szCs w:val="21"/>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rPr>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2160" w:type="dxa"/>
          </w:tcPr>
          <w:p>
            <w:pPr>
              <w:adjustRightInd w:val="0"/>
              <w:snapToGrid w:val="0"/>
              <w:jc w:val="left"/>
              <w:rPr>
                <w:rFonts w:cs="新宋体" w:asciiTheme="minorEastAsia" w:hAnsiTheme="minorEastAsia" w:eastAsiaTheme="minorEastAsia"/>
                <w:szCs w:val="21"/>
              </w:rPr>
            </w:pPr>
            <w:r>
              <w:rPr>
                <w:rFonts w:hint="eastAsia" w:cs="新宋体" w:asciiTheme="minorEastAsia" w:hAnsiTheme="minorEastAsia" w:eastAsiaTheme="minorEastAsia"/>
                <w:szCs w:val="21"/>
              </w:rPr>
              <w:t>法规与其他要求/合规性义务</w:t>
            </w:r>
          </w:p>
        </w:tc>
        <w:tc>
          <w:tcPr>
            <w:tcW w:w="960" w:type="dxa"/>
          </w:tcPr>
          <w:p>
            <w:pPr>
              <w:rPr>
                <w:rFonts w:cs="新宋体" w:asciiTheme="minorEastAsia" w:hAnsiTheme="minorEastAsia" w:eastAsiaTheme="minorEastAsia"/>
                <w:szCs w:val="21"/>
              </w:rPr>
            </w:pPr>
            <w:r>
              <w:rPr>
                <w:rFonts w:hint="eastAsia" w:cs="新宋体" w:asciiTheme="minorEastAsia" w:hAnsiTheme="minorEastAsia" w:eastAsiaTheme="minorEastAsia"/>
                <w:szCs w:val="21"/>
              </w:rPr>
              <w:t>E6.1.3</w:t>
            </w:r>
          </w:p>
          <w:p>
            <w:pPr>
              <w:rPr>
                <w:rFonts w:cs="新宋体" w:asciiTheme="minorEastAsia" w:hAnsiTheme="minorEastAsia" w:eastAsiaTheme="minorEastAsia"/>
                <w:szCs w:val="21"/>
              </w:rPr>
            </w:pPr>
            <w:r>
              <w:rPr>
                <w:rFonts w:hint="eastAsia" w:cs="新宋体" w:asciiTheme="minorEastAsia" w:hAnsiTheme="minorEastAsia" w:eastAsiaTheme="minorEastAsia"/>
                <w:szCs w:val="21"/>
              </w:rPr>
              <w:t xml:space="preserve"> </w:t>
            </w:r>
          </w:p>
        </w:tc>
        <w:tc>
          <w:tcPr>
            <w:tcW w:w="10004" w:type="dxa"/>
          </w:tcPr>
          <w:p>
            <w:pPr>
              <w:numPr>
                <w:ilvl w:val="0"/>
                <w:numId w:val="0"/>
              </w:numP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编制《法律法规与其他要求控制程序》，综合部负责法律法规的收集、更新；查有《法律、法规及其他要求清单》，对本公司环境管理体系适用的法律法规和当地政府、行业要求进行了识别，包括环境质量标准、排放标准等。</w:t>
            </w:r>
          </w:p>
          <w:p>
            <w:pPr>
              <w:numPr>
                <w:ilvl w:val="0"/>
                <w:numId w:val="0"/>
              </w:numP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 xml:space="preserve">提供了外来文件清单，对外来文件进行了合规性评价，《法律法规清单》中列出了法规名称、颁布实施时间、适用条款等内容；。 </w:t>
            </w:r>
          </w:p>
          <w:p>
            <w:pPr>
              <w:numPr>
                <w:ilvl w:val="0"/>
                <w:numId w:val="0"/>
              </w:numP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编制：综合部      审核： 卢慧  批准：张峰2019.9.10</w:t>
            </w:r>
          </w:p>
          <w:p>
            <w:pPr>
              <w:numPr>
                <w:ilvl w:val="0"/>
                <w:numId w:val="0"/>
              </w:numPr>
              <w:rPr>
                <w:rFonts w:cs="宋体" w:asciiTheme="minorEastAsia" w:hAnsiTheme="minorEastAsia" w:eastAsiaTheme="minorEastAsia"/>
                <w:szCs w:val="21"/>
              </w:rPr>
            </w:pPr>
            <w:r>
              <w:rPr>
                <w:rFonts w:hint="eastAsia" w:asciiTheme="minorEastAsia" w:hAnsiTheme="minorEastAsia" w:eastAsiaTheme="minorEastAsia"/>
                <w:szCs w:val="21"/>
                <w:lang w:val="en-US" w:eastAsia="zh-CN"/>
              </w:rPr>
              <w:t>法规清单上传内部网络，以培训和宣传结合向员工传达要求，记录充分。基本符合要求。</w:t>
            </w:r>
          </w:p>
        </w:tc>
        <w:tc>
          <w:tcPr>
            <w:tcW w:w="1585" w:type="dxa"/>
          </w:tcPr>
          <w:p>
            <w:pP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Theme="minorEastAsia" w:hAnsiTheme="minorEastAsia" w:eastAsiaTheme="minorEastAsia"/>
                <w:szCs w:val="21"/>
              </w:rPr>
            </w:pPr>
            <w:r>
              <w:rPr>
                <w:rFonts w:hint="eastAsia" w:asciiTheme="minorEastAsia" w:hAnsiTheme="minorEastAsia" w:eastAsiaTheme="minorEastAsia"/>
                <w:szCs w:val="21"/>
              </w:rPr>
              <w:t>运行的策划与控制</w:t>
            </w:r>
          </w:p>
          <w:p>
            <w:pPr>
              <w:adjustRightInd w:val="0"/>
              <w:snapToGrid w:val="0"/>
              <w:jc w:val="left"/>
              <w:rPr>
                <w:rFonts w:cs="新宋体" w:asciiTheme="minorEastAsia" w:hAnsiTheme="minorEastAsia" w:eastAsiaTheme="minorEastAsia"/>
                <w:szCs w:val="21"/>
              </w:rPr>
            </w:pPr>
          </w:p>
        </w:tc>
        <w:tc>
          <w:tcPr>
            <w:tcW w:w="960" w:type="dxa"/>
          </w:tcPr>
          <w:p>
            <w:pPr>
              <w:rPr>
                <w:rFonts w:asciiTheme="minorEastAsia" w:hAnsiTheme="minorEastAsia" w:eastAsiaTheme="minorEastAsia"/>
                <w:szCs w:val="21"/>
              </w:rPr>
            </w:pPr>
            <w:r>
              <w:rPr>
                <w:rFonts w:hint="eastAsia" w:asciiTheme="minorEastAsia" w:hAnsiTheme="minorEastAsia" w:eastAsiaTheme="minorEastAsia"/>
                <w:szCs w:val="21"/>
              </w:rPr>
              <w:t>E8.1</w:t>
            </w:r>
          </w:p>
          <w:p>
            <w:pPr>
              <w:rPr>
                <w:rFonts w:cs="新宋体" w:asciiTheme="minorEastAsia" w:hAnsiTheme="minorEastAsia" w:eastAsiaTheme="minorEastAsia"/>
                <w:szCs w:val="21"/>
              </w:rPr>
            </w:pPr>
          </w:p>
        </w:tc>
        <w:tc>
          <w:tcPr>
            <w:tcW w:w="10004" w:type="dxa"/>
          </w:tcPr>
          <w:p>
            <w:pPr>
              <w:numPr>
                <w:ilvl w:val="0"/>
                <w:numId w:val="0"/>
              </w:numP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本部门执行节能降耗控制程序、废气、废水、固体废弃物控制程序、噪声控制程序、电气安全控制程序和消防安全控制程序等。</w:t>
            </w:r>
          </w:p>
          <w:p>
            <w:pPr>
              <w:numPr>
                <w:ilvl w:val="0"/>
                <w:numId w:val="0"/>
              </w:numPr>
              <w:rPr>
                <w:rFonts w:hint="eastAsia" w:asciiTheme="minorEastAsia" w:hAnsiTheme="minorEastAsia" w:eastAsiaTheme="minorEastAsia"/>
                <w:szCs w:val="21"/>
                <w:lang w:val="en-GB" w:eastAsia="zh-CN"/>
              </w:rPr>
            </w:pPr>
            <w:r>
              <w:rPr>
                <w:rFonts w:hint="eastAsia" w:asciiTheme="minorEastAsia" w:hAnsiTheme="minorEastAsia" w:eastAsiaTheme="minorEastAsia"/>
                <w:szCs w:val="21"/>
                <w:lang w:val="en-GB" w:eastAsia="zh-CN"/>
              </w:rPr>
              <w:t>运行控制情况：办公过程注意节约用电，做到人走灯灭，电脑长时间不用时关机，下班前要关闭电源；</w:t>
            </w:r>
          </w:p>
          <w:p>
            <w:pPr>
              <w:numPr>
                <w:ilvl w:val="0"/>
                <w:numId w:val="0"/>
              </w:numP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办公过程使用的电器如：空调、电脑、灯具均符合安全设计要求，使用过程注意安全，预防触电，工作长白班，每天8小时，每周双休；</w:t>
            </w:r>
          </w:p>
          <w:p>
            <w:pPr>
              <w:numPr>
                <w:ilvl w:val="0"/>
                <w:numId w:val="0"/>
              </w:numP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对于完成目标计划的部门和个人公司奖励旅游活动的时间和资金，全体员工自动接受公司管理方案行动。</w:t>
            </w:r>
          </w:p>
          <w:p>
            <w:pPr>
              <w:numPr>
                <w:ilvl w:val="0"/>
                <w:numId w:val="0"/>
              </w:numPr>
              <w:rPr>
                <w:rFonts w:hint="eastAsia" w:asciiTheme="minorEastAsia" w:hAnsiTheme="minorEastAsia" w:eastAsiaTheme="minorEastAsia"/>
                <w:szCs w:val="21"/>
                <w:lang w:val="en-GB" w:eastAsia="zh-CN"/>
              </w:rPr>
            </w:pPr>
            <w:r>
              <w:rPr>
                <w:rFonts w:hint="eastAsia" w:asciiTheme="minorEastAsia" w:hAnsiTheme="minorEastAsia" w:eastAsiaTheme="minorEastAsia"/>
                <w:szCs w:val="21"/>
                <w:lang w:val="en-GB" w:eastAsia="zh-CN"/>
              </w:rPr>
              <w:t>相关方施加影响：公司能够控制或能够施加影响的相关方有周边商户、固体废弃物处理等。提供了“致相关方的公开信”，将公司关于办公用品采购、固体废弃物处理等方面环境控制要求发放到了周边商户，督促影响各相关方按照环境管理体系要求对环境施加影响。</w:t>
            </w:r>
          </w:p>
          <w:p>
            <w:pPr>
              <w:numPr>
                <w:ilvl w:val="0"/>
                <w:numId w:val="0"/>
              </w:numPr>
              <w:rPr>
                <w:rFonts w:hint="eastAsia" w:asciiTheme="minorEastAsia" w:hAnsiTheme="minorEastAsia" w:eastAsiaTheme="minorEastAsia"/>
                <w:szCs w:val="21"/>
                <w:lang w:val="en-GB" w:eastAsia="zh-CN"/>
              </w:rPr>
            </w:pPr>
            <w:r>
              <w:rPr>
                <w:rFonts w:hint="eastAsia" w:asciiTheme="minorEastAsia" w:hAnsiTheme="minorEastAsia" w:eastAsiaTheme="minorEastAsia"/>
                <w:szCs w:val="21"/>
                <w:lang w:val="en-GB" w:eastAsia="zh-CN"/>
              </w:rPr>
              <w:t>公司办公产生的废硒鼓、废墨盒、</w:t>
            </w:r>
            <w:r>
              <w:rPr>
                <w:rFonts w:hint="eastAsia" w:asciiTheme="minorEastAsia" w:hAnsiTheme="minorEastAsia" w:eastAsiaTheme="minorEastAsia"/>
                <w:szCs w:val="21"/>
                <w:lang w:val="en-US" w:eastAsia="zh-CN"/>
              </w:rPr>
              <w:t>电池</w:t>
            </w:r>
            <w:r>
              <w:rPr>
                <w:rFonts w:hint="eastAsia" w:asciiTheme="minorEastAsia" w:hAnsiTheme="minorEastAsia" w:eastAsiaTheme="minorEastAsia"/>
                <w:szCs w:val="21"/>
                <w:lang w:val="en-GB" w:eastAsia="zh-CN"/>
              </w:rPr>
              <w:t>由供应方公司回收；</w:t>
            </w:r>
          </w:p>
          <w:p>
            <w:pPr>
              <w:numPr>
                <w:ilvl w:val="0"/>
                <w:numId w:val="0"/>
              </w:numPr>
              <w:rPr>
                <w:rFonts w:hint="eastAsia" w:asciiTheme="minorEastAsia" w:hAnsiTheme="minorEastAsia" w:eastAsiaTheme="minorEastAsia"/>
                <w:szCs w:val="21"/>
                <w:lang w:val="en-GB" w:eastAsia="zh-CN"/>
              </w:rPr>
            </w:pPr>
            <w:r>
              <w:rPr>
                <w:rFonts w:hint="eastAsia" w:asciiTheme="minorEastAsia" w:hAnsiTheme="minorEastAsia" w:eastAsiaTheme="minorEastAsia"/>
                <w:szCs w:val="21"/>
                <w:lang w:val="en-US" w:eastAsia="zh-CN"/>
              </w:rPr>
              <w:t>查：办公场所产生的生活固废：</w:t>
            </w:r>
            <w:r>
              <w:rPr>
                <w:rFonts w:hint="eastAsia" w:asciiTheme="minorEastAsia" w:hAnsiTheme="minorEastAsia" w:eastAsiaTheme="minorEastAsia"/>
                <w:szCs w:val="21"/>
                <w:lang w:val="en-GB" w:eastAsia="zh-CN"/>
              </w:rPr>
              <w:t>日常洗涤瓶、灯泡、废</w:t>
            </w:r>
            <w:r>
              <w:rPr>
                <w:rFonts w:hint="eastAsia" w:asciiTheme="minorEastAsia" w:hAnsiTheme="minorEastAsia" w:eastAsiaTheme="minorEastAsia"/>
                <w:szCs w:val="21"/>
                <w:lang w:val="en-US" w:eastAsia="zh-CN"/>
              </w:rPr>
              <w:t>包装箱、矿泉水瓶、快餐盒等由物业公司统一处置；</w:t>
            </w:r>
          </w:p>
          <w:p>
            <w:pPr>
              <w:numPr>
                <w:ilvl w:val="0"/>
                <w:numId w:val="0"/>
              </w:numP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能源消耗：要求员工节约用水、节约用电，垃圾处置费及能耗费用由物业公司统一代收，提供了9~12月交纳单据：（见财务审核案卷）</w:t>
            </w:r>
          </w:p>
          <w:p>
            <w:pPr>
              <w:numPr>
                <w:ilvl w:val="0"/>
                <w:numId w:val="0"/>
              </w:numP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公司对空调使用有管理，规定了空调制冷、制热使用的气候温度；</w:t>
            </w:r>
          </w:p>
          <w:p>
            <w:pPr>
              <w:numPr>
                <w:ilvl w:val="0"/>
                <w:numId w:val="0"/>
              </w:numP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要求驾驶员遵守道路交通安全法，不违章驾车，驾驶证和车辆定期年审，确保行车安全。</w:t>
            </w:r>
          </w:p>
          <w:p>
            <w:pPr>
              <w:numPr>
                <w:ilvl w:val="0"/>
                <w:numId w:val="0"/>
              </w:numP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现场查看办公区域配备有符合要求的灭火器和消火栓等，综合部设备、电器状态良好，无安全隐患。</w:t>
            </w:r>
          </w:p>
          <w:p>
            <w:pPr>
              <w:numPr>
                <w:ilvl w:val="0"/>
                <w:numId w:val="0"/>
              </w:numP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现场查看办公区域未配备灭火器和消火栓，公司无食堂及员工宿舍；</w:t>
            </w:r>
          </w:p>
          <w:p>
            <w:pPr>
              <w:numPr>
                <w:ilvl w:val="0"/>
                <w:numId w:val="0"/>
              </w:numPr>
              <w:rPr>
                <w:rFonts w:cs="宋体" w:asciiTheme="minorEastAsia" w:hAnsiTheme="minorEastAsia" w:eastAsiaTheme="minorEastAsia"/>
                <w:szCs w:val="21"/>
              </w:rPr>
            </w:pPr>
            <w:r>
              <w:rPr>
                <w:rFonts w:hint="eastAsia" w:asciiTheme="minorEastAsia" w:hAnsiTheme="minorEastAsia" w:eastAsiaTheme="minorEastAsia"/>
                <w:szCs w:val="21"/>
                <w:lang w:val="en-US" w:eastAsia="zh-CN"/>
              </w:rPr>
              <w:t>综合部设备、电器状态良好，无安全隐患。</w:t>
            </w:r>
          </w:p>
        </w:tc>
        <w:tc>
          <w:tcPr>
            <w:tcW w:w="1585" w:type="dxa"/>
          </w:tcPr>
          <w:p>
            <w:pP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cs="新宋体" w:asciiTheme="minorEastAsia" w:hAnsiTheme="minorEastAsia" w:eastAsiaTheme="minorEastAsia"/>
                <w:szCs w:val="21"/>
              </w:rPr>
            </w:pPr>
            <w:r>
              <w:rPr>
                <w:rFonts w:hint="eastAsia" w:cs="新宋体" w:asciiTheme="minorEastAsia" w:hAnsiTheme="minorEastAsia" w:eastAsiaTheme="minorEastAsia"/>
                <w:szCs w:val="21"/>
              </w:rPr>
              <w:t>应急准备和响应</w:t>
            </w:r>
          </w:p>
        </w:tc>
        <w:tc>
          <w:tcPr>
            <w:tcW w:w="960" w:type="dxa"/>
          </w:tcPr>
          <w:p>
            <w:pPr>
              <w:rPr>
                <w:rFonts w:cs="新宋体" w:asciiTheme="minorEastAsia" w:hAnsiTheme="minorEastAsia" w:eastAsiaTheme="minorEastAsia"/>
                <w:szCs w:val="21"/>
              </w:rPr>
            </w:pPr>
            <w:r>
              <w:rPr>
                <w:rFonts w:hint="eastAsia" w:cs="新宋体" w:asciiTheme="minorEastAsia" w:hAnsiTheme="minorEastAsia" w:eastAsiaTheme="minorEastAsia"/>
                <w:szCs w:val="21"/>
              </w:rPr>
              <w:t>E8.2</w:t>
            </w:r>
          </w:p>
          <w:p>
            <w:pPr>
              <w:rPr>
                <w:rFonts w:cs="新宋体" w:asciiTheme="minorEastAsia" w:hAnsiTheme="minorEastAsia" w:eastAsiaTheme="minorEastAsia"/>
                <w:szCs w:val="21"/>
              </w:rPr>
            </w:pPr>
          </w:p>
        </w:tc>
        <w:tc>
          <w:tcPr>
            <w:tcW w:w="10004" w:type="dxa"/>
          </w:tcPr>
          <w:p>
            <w:pPr>
              <w:numPr>
                <w:ilvl w:val="0"/>
                <w:numId w:val="0"/>
              </w:numP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查见：《应急准备和响应控制程序》、《火灾事故应急救援预案》等。</w:t>
            </w:r>
          </w:p>
          <w:p>
            <w:pPr>
              <w:numPr>
                <w:ilvl w:val="0"/>
                <w:numId w:val="0"/>
              </w:numP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施工方案编制了</w:t>
            </w:r>
            <w:bookmarkStart w:id="3" w:name="_Toc336011870"/>
            <w:r>
              <w:rPr>
                <w:rFonts w:hint="eastAsia" w:asciiTheme="minorEastAsia" w:hAnsiTheme="minorEastAsia" w:eastAsiaTheme="minorEastAsia"/>
                <w:szCs w:val="21"/>
                <w:lang w:val="en-US" w:eastAsia="zh-CN"/>
              </w:rPr>
              <w:t>项目施工急救措施</w:t>
            </w:r>
            <w:bookmarkEnd w:id="3"/>
            <w:r>
              <w:rPr>
                <w:rFonts w:hint="eastAsia" w:asciiTheme="minorEastAsia" w:hAnsiTheme="minorEastAsia" w:eastAsiaTheme="minorEastAsia"/>
                <w:szCs w:val="21"/>
                <w:lang w:val="en-US" w:eastAsia="zh-CN"/>
              </w:rPr>
              <w:t xml:space="preserve">： </w:t>
            </w:r>
          </w:p>
          <w:p>
            <w:pPr>
              <w:numPr>
                <w:ilvl w:val="0"/>
                <w:numId w:val="0"/>
              </w:numP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 xml:space="preserve">（1）设置保健医药箱，内有医用酒精、医用砂布、棉球、红汞、创可贴等用品，项目配置急救单架一付； </w:t>
            </w:r>
          </w:p>
          <w:p>
            <w:pPr>
              <w:numPr>
                <w:ilvl w:val="0"/>
                <w:numId w:val="0"/>
              </w:numP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 xml:space="preserve">（2）保健医药箱内有急救包、止血带，遇轻伤流血，由我项目部经培训的急救员包轧处理； </w:t>
            </w:r>
          </w:p>
          <w:p>
            <w:pPr>
              <w:numPr>
                <w:ilvl w:val="0"/>
                <w:numId w:val="0"/>
              </w:numP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 xml:space="preserve">（3）小面积擦伤，可用2%的红汞液涂抹，不必包扎，暴露在空气中即可痊愈。大面积擦伤，首先处理创面，一般用生理盐水冲洗创面，创面经过处理，再用凡士林纱布覆盖，用绷带包扎。 </w:t>
            </w:r>
          </w:p>
          <w:p>
            <w:pPr>
              <w:numPr>
                <w:ilvl w:val="0"/>
                <w:numId w:val="0"/>
              </w:numP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 xml:space="preserve">（4）夏天预防中暑，备有仁丹、十滴水等防暑药品。轻度中暑时，应迅速离开炎热环境，到阴凉通风处休息，同时可饮用浓茶或盐水。中度中暑时，除采取上述措施外，可服用十滴水，成人服用四十滴。   </w:t>
            </w:r>
          </w:p>
          <w:p>
            <w:pPr>
              <w:numPr>
                <w:ilvl w:val="0"/>
                <w:numId w:val="0"/>
              </w:numP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（5）遇到严重事故，立即组织相关人员进行抢救并报相关部门处理</w:t>
            </w:r>
          </w:p>
          <w:p>
            <w:pPr>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目前应急预案基本符合要求，暂无变更查见：消防安全演习报告：2019年</w:t>
            </w:r>
            <w:r>
              <w:rPr>
                <w:rFonts w:hint="eastAsia" w:cs="宋体" w:asciiTheme="minorEastAsia" w:hAnsiTheme="minorEastAsia" w:eastAsiaTheme="minorEastAsia"/>
                <w:color w:val="auto"/>
                <w:szCs w:val="21"/>
                <w:lang w:val="en-US" w:eastAsia="zh-CN"/>
              </w:rPr>
              <w:t>11</w:t>
            </w:r>
            <w:r>
              <w:rPr>
                <w:rFonts w:hint="eastAsia" w:cs="宋体" w:asciiTheme="minorEastAsia" w:hAnsiTheme="minorEastAsia" w:eastAsiaTheme="minorEastAsia"/>
                <w:color w:val="auto"/>
                <w:szCs w:val="21"/>
              </w:rPr>
              <w:t>月1</w:t>
            </w:r>
            <w:r>
              <w:rPr>
                <w:rFonts w:hint="eastAsia" w:cs="宋体" w:asciiTheme="minorEastAsia" w:hAnsiTheme="minorEastAsia" w:eastAsiaTheme="minorEastAsia"/>
                <w:color w:val="auto"/>
                <w:szCs w:val="21"/>
                <w:lang w:val="en-US" w:eastAsia="zh-CN"/>
              </w:rPr>
              <w:t>5</w:t>
            </w:r>
            <w:r>
              <w:rPr>
                <w:rFonts w:hint="eastAsia" w:cs="宋体" w:asciiTheme="minorEastAsia" w:hAnsiTheme="minorEastAsia" w:eastAsiaTheme="minorEastAsia"/>
                <w:color w:val="auto"/>
                <w:szCs w:val="21"/>
              </w:rPr>
              <w:t>日由</w:t>
            </w:r>
            <w:r>
              <w:rPr>
                <w:rFonts w:hint="eastAsia" w:cs="宋体" w:asciiTheme="minorEastAsia" w:hAnsiTheme="minorEastAsia" w:eastAsiaTheme="minorEastAsia"/>
                <w:color w:val="auto"/>
                <w:szCs w:val="21"/>
                <w:lang w:eastAsia="zh-CN"/>
              </w:rPr>
              <w:t>综合部</w:t>
            </w:r>
            <w:r>
              <w:rPr>
                <w:rFonts w:hint="eastAsia" w:cs="宋体" w:asciiTheme="minorEastAsia" w:hAnsiTheme="minorEastAsia" w:eastAsiaTheme="minorEastAsia"/>
                <w:color w:val="auto"/>
                <w:szCs w:val="21"/>
              </w:rPr>
              <w:t>组织公司全体人员，在公司办公楼</w:t>
            </w:r>
            <w:r>
              <w:rPr>
                <w:rFonts w:hint="eastAsia" w:cs="宋体" w:asciiTheme="minorEastAsia" w:hAnsiTheme="minorEastAsia" w:eastAsiaTheme="minorEastAsia"/>
                <w:color w:val="auto"/>
                <w:szCs w:val="21"/>
                <w:lang w:val="en-US" w:eastAsia="zh-CN"/>
              </w:rPr>
              <w:t>空地</w:t>
            </w:r>
            <w:r>
              <w:rPr>
                <w:rFonts w:hint="eastAsia" w:cs="宋体" w:asciiTheme="minorEastAsia" w:hAnsiTheme="minorEastAsia" w:eastAsiaTheme="minorEastAsia"/>
                <w:color w:val="auto"/>
                <w:szCs w:val="21"/>
              </w:rPr>
              <w:t>前火灾消防模拟演习。演习前</w:t>
            </w:r>
            <w:r>
              <w:rPr>
                <w:rFonts w:hint="eastAsia" w:cs="宋体" w:asciiTheme="minorEastAsia" w:hAnsiTheme="minorEastAsia" w:eastAsiaTheme="minorEastAsia"/>
                <w:color w:val="auto"/>
                <w:szCs w:val="21"/>
                <w:lang w:val="en-US" w:eastAsia="zh-CN"/>
              </w:rPr>
              <w:t>卢慧</w:t>
            </w:r>
            <w:r>
              <w:rPr>
                <w:rFonts w:hint="eastAsia" w:cs="宋体" w:asciiTheme="minorEastAsia" w:hAnsiTheme="minorEastAsia" w:eastAsiaTheme="minorEastAsia"/>
                <w:color w:val="auto"/>
                <w:szCs w:val="21"/>
              </w:rPr>
              <w:t>给大家讲解此次消防演习的目的,消防队长给大家讲解了安全消防知识和消防工具的使用方法，并进行了灭火器和消防水带使用示范；讲解了消防法规宣传及救援、逃生基本常识讲解；</w:t>
            </w:r>
          </w:p>
          <w:p>
            <w:pPr>
              <w:rPr>
                <w:rFonts w:hint="eastAsia"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查，现场能提供以上演练记录及消防安全演习总结报告。全体员工通过亲身体验感受到了水火不留情的紧急状况，检验了公司应对突发事件的能力、以及公司火灾事故应急预案的可操作性。有效降低事故危害，减少事故损失，确保公司安全、健康、有序的发展等。并对消防演习进行了总结，通过演习提高了全员安全防火意识，了解了警铃与疏散信号及安全防火常识；</w:t>
            </w:r>
          </w:p>
          <w:p>
            <w:pPr>
              <w:rPr>
                <w:color w:val="FF0000"/>
                <w:u w:val="single"/>
              </w:rPr>
            </w:pPr>
            <w:r>
              <w:rPr>
                <w:rFonts w:hint="eastAsia" w:cs="宋体" w:asciiTheme="minorEastAsia" w:hAnsiTheme="minorEastAsia" w:eastAsiaTheme="minorEastAsia"/>
                <w:color w:val="auto"/>
                <w:szCs w:val="21"/>
              </w:rPr>
              <w:t>评价人：</w:t>
            </w:r>
            <w:r>
              <w:rPr>
                <w:rFonts w:hint="eastAsia" w:cs="宋体" w:asciiTheme="minorEastAsia" w:hAnsiTheme="minorEastAsia" w:eastAsiaTheme="minorEastAsia"/>
                <w:color w:val="auto"/>
                <w:szCs w:val="21"/>
                <w:lang w:val="en-US" w:eastAsia="zh-CN"/>
              </w:rPr>
              <w:t>卢慧</w:t>
            </w:r>
            <w:r>
              <w:rPr>
                <w:rFonts w:hint="eastAsia" w:cs="宋体" w:asciiTheme="minorEastAsia" w:hAnsiTheme="minorEastAsia" w:eastAsiaTheme="minorEastAsia"/>
                <w:color w:val="auto"/>
                <w:szCs w:val="21"/>
              </w:rPr>
              <w:t xml:space="preserve">        审批：</w:t>
            </w:r>
            <w:r>
              <w:rPr>
                <w:rFonts w:hint="eastAsia" w:cs="宋体" w:asciiTheme="minorEastAsia" w:hAnsiTheme="minorEastAsia" w:eastAsiaTheme="minorEastAsia"/>
                <w:color w:val="auto"/>
                <w:szCs w:val="21"/>
                <w:lang w:val="en-US" w:eastAsia="zh-CN"/>
              </w:rPr>
              <w:t>张峰</w:t>
            </w:r>
            <w:r>
              <w:rPr>
                <w:rFonts w:hint="eastAsia" w:cs="宋体" w:asciiTheme="minorEastAsia" w:hAnsiTheme="minorEastAsia" w:eastAsiaTheme="minorEastAsia"/>
                <w:color w:val="auto"/>
                <w:szCs w:val="21"/>
              </w:rPr>
              <w:t xml:space="preserve">   2019.</w:t>
            </w:r>
            <w:r>
              <w:rPr>
                <w:rFonts w:hint="eastAsia" w:cs="宋体" w:asciiTheme="minorEastAsia" w:hAnsiTheme="minorEastAsia" w:eastAsiaTheme="minorEastAsia"/>
                <w:color w:val="auto"/>
                <w:szCs w:val="21"/>
                <w:lang w:val="en-US" w:eastAsia="zh-CN"/>
              </w:rPr>
              <w:t>11</w:t>
            </w:r>
            <w:r>
              <w:rPr>
                <w:rFonts w:hint="eastAsia" w:cs="宋体" w:asciiTheme="minorEastAsia" w:hAnsiTheme="minorEastAsia" w:eastAsiaTheme="minorEastAsia"/>
                <w:color w:val="auto"/>
                <w:szCs w:val="21"/>
              </w:rPr>
              <w:t>.1</w:t>
            </w:r>
            <w:r>
              <w:rPr>
                <w:rFonts w:hint="eastAsia" w:cs="宋体" w:asciiTheme="minorEastAsia" w:hAnsiTheme="minorEastAsia" w:eastAsiaTheme="minorEastAsia"/>
                <w:color w:val="auto"/>
                <w:szCs w:val="21"/>
                <w:lang w:val="en-US" w:eastAsia="zh-CN"/>
              </w:rPr>
              <w:t>5</w:t>
            </w:r>
          </w:p>
        </w:tc>
        <w:tc>
          <w:tcPr>
            <w:tcW w:w="1585" w:type="dxa"/>
          </w:tcPr>
          <w:p>
            <w:pPr>
              <w:rPr>
                <w:rFonts w:asciiTheme="minorEastAsia" w:hAnsiTheme="minorEastAsia" w:eastAsiaTheme="minorEastAsia"/>
                <w:color w:val="FF0000"/>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p>
            <w:pPr>
              <w:pStyle w:val="2"/>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cs="新宋体" w:asciiTheme="minorEastAsia" w:hAnsiTheme="minorEastAsia" w:eastAsiaTheme="minorEastAsia"/>
                <w:szCs w:val="21"/>
              </w:rPr>
            </w:pPr>
            <w:r>
              <w:rPr>
                <w:rFonts w:hint="eastAsia" w:cs="新宋体" w:asciiTheme="minorEastAsia" w:hAnsiTheme="minorEastAsia" w:eastAsiaTheme="minorEastAsia"/>
                <w:szCs w:val="21"/>
              </w:rPr>
              <w:t>监视、测量、分析与评估</w:t>
            </w:r>
          </w:p>
        </w:tc>
        <w:tc>
          <w:tcPr>
            <w:tcW w:w="960" w:type="dxa"/>
          </w:tcPr>
          <w:p>
            <w:pPr>
              <w:rPr>
                <w:rFonts w:cs="新宋体" w:asciiTheme="minorEastAsia" w:hAnsiTheme="minorEastAsia" w:eastAsiaTheme="minorEastAsia"/>
                <w:szCs w:val="21"/>
              </w:rPr>
            </w:pPr>
            <w:r>
              <w:rPr>
                <w:rFonts w:hint="eastAsia" w:cs="新宋体" w:asciiTheme="minorEastAsia" w:hAnsiTheme="minorEastAsia" w:eastAsiaTheme="minorEastAsia"/>
                <w:szCs w:val="21"/>
              </w:rPr>
              <w:t xml:space="preserve">E9.1 </w:t>
            </w:r>
          </w:p>
          <w:p>
            <w:pPr>
              <w:rPr>
                <w:rFonts w:cs="新宋体" w:asciiTheme="minorEastAsia" w:hAnsiTheme="minorEastAsia" w:eastAsiaTheme="minorEastAsia"/>
                <w:szCs w:val="21"/>
              </w:rPr>
            </w:pPr>
          </w:p>
        </w:tc>
        <w:tc>
          <w:tcPr>
            <w:tcW w:w="10004" w:type="dxa"/>
          </w:tcPr>
          <w:p>
            <w:pPr>
              <w:spacing w:line="400" w:lineRule="exact"/>
              <w:rPr>
                <w:rFonts w:asciiTheme="minorEastAsia" w:hAnsiTheme="minorEastAsia" w:eastAsiaTheme="minorEastAsia"/>
                <w:szCs w:val="21"/>
              </w:rPr>
            </w:pPr>
            <w:r>
              <w:rPr>
                <w:rFonts w:hint="eastAsia" w:asciiTheme="minorEastAsia" w:hAnsiTheme="minorEastAsia" w:eastAsiaTheme="minorEastAsia"/>
                <w:szCs w:val="21"/>
                <w:lang w:val="en-US" w:eastAsia="zh-CN"/>
              </w:rPr>
              <w:t>编制了</w:t>
            </w:r>
            <w:r>
              <w:rPr>
                <w:rFonts w:hint="eastAsia" w:asciiTheme="minorEastAsia" w:hAnsiTheme="minorEastAsia" w:eastAsiaTheme="minorEastAsia"/>
                <w:szCs w:val="21"/>
              </w:rPr>
              <w:t>管理文件。</w:t>
            </w:r>
          </w:p>
          <w:p>
            <w:pPr>
              <w:ind w:firstLine="210" w:firstLineChars="100"/>
              <w:rPr>
                <w:rFonts w:hint="eastAsia" w:asciiTheme="minorEastAsia" w:hAnsiTheme="minorEastAsia" w:eastAsiaTheme="minorEastAsia"/>
                <w:szCs w:val="21"/>
              </w:rPr>
            </w:pPr>
            <w:r>
              <w:rPr>
                <w:rFonts w:hint="eastAsia" w:asciiTheme="minorEastAsia" w:hAnsiTheme="minorEastAsia" w:eastAsiaTheme="minorEastAsia"/>
                <w:szCs w:val="21"/>
              </w:rPr>
              <w:t>查公司《环境安全运行检查记录表》</w:t>
            </w:r>
          </w:p>
          <w:p>
            <w:pPr>
              <w:ind w:firstLine="210" w:firstLineChars="100"/>
              <w:rPr>
                <w:rFonts w:hint="eastAsia" w:asciiTheme="minorEastAsia" w:hAnsiTheme="minorEastAsia" w:eastAsiaTheme="minorEastAsia"/>
                <w:color w:val="auto"/>
                <w:szCs w:val="21"/>
              </w:rPr>
            </w:pPr>
            <w:r>
              <w:rPr>
                <w:rFonts w:hint="eastAsia" w:asciiTheme="minorEastAsia" w:hAnsiTheme="minorEastAsia" w:eastAsiaTheme="minorEastAsia"/>
                <w:szCs w:val="21"/>
              </w:rPr>
              <w:t>程序文件规定公司每月由</w:t>
            </w:r>
            <w:r>
              <w:rPr>
                <w:rFonts w:hint="eastAsia" w:asciiTheme="minorEastAsia" w:hAnsiTheme="minorEastAsia" w:eastAsiaTheme="minorEastAsia"/>
                <w:szCs w:val="21"/>
                <w:lang w:eastAsia="zh-CN"/>
              </w:rPr>
              <w:t>综合部</w:t>
            </w:r>
            <w:r>
              <w:rPr>
                <w:rFonts w:hint="eastAsia" w:asciiTheme="minorEastAsia" w:hAnsiTheme="minorEastAsia" w:eastAsiaTheme="minorEastAsia"/>
                <w:szCs w:val="21"/>
              </w:rPr>
              <w:t>组织人员对公司办公场所和仓库的环境方面、</w:t>
            </w:r>
            <w:r>
              <w:rPr>
                <w:rFonts w:hint="eastAsia"/>
                <w:szCs w:val="21"/>
              </w:rPr>
              <w:t>节约用水</w:t>
            </w:r>
            <w:r>
              <w:rPr>
                <w:rFonts w:hint="eastAsia" w:asciiTheme="minorEastAsia" w:hAnsiTheme="minorEastAsia" w:eastAsiaTheme="minorEastAsia"/>
                <w:szCs w:val="21"/>
              </w:rPr>
              <w:t>、</w:t>
            </w:r>
            <w:r>
              <w:rPr>
                <w:rFonts w:hint="eastAsia"/>
                <w:szCs w:val="21"/>
              </w:rPr>
              <w:t>一般固废的处置</w:t>
            </w:r>
            <w:r>
              <w:rPr>
                <w:rFonts w:hint="eastAsia" w:asciiTheme="minorEastAsia" w:hAnsiTheme="minorEastAsia" w:eastAsiaTheme="minorEastAsia"/>
                <w:szCs w:val="21"/>
              </w:rPr>
              <w:t>、</w:t>
            </w:r>
            <w:r>
              <w:rPr>
                <w:rFonts w:hint="eastAsia"/>
                <w:sz w:val="21"/>
                <w:szCs w:val="21"/>
              </w:rPr>
              <w:t>现场环境清洁、干净</w:t>
            </w:r>
            <w:r>
              <w:rPr>
                <w:rFonts w:hint="eastAsia"/>
                <w:sz w:val="21"/>
                <w:szCs w:val="21"/>
                <w:lang w:eastAsia="zh-CN"/>
              </w:rPr>
              <w:t>、</w:t>
            </w:r>
            <w:r>
              <w:rPr>
                <w:rFonts w:hint="eastAsia"/>
                <w:szCs w:val="21"/>
              </w:rPr>
              <w:t>有无长明灯、或开关损坏？废纸是否回收并二次使用</w:t>
            </w:r>
            <w:r>
              <w:rPr>
                <w:rFonts w:hint="eastAsia"/>
                <w:szCs w:val="21"/>
                <w:lang w:eastAsia="zh-CN"/>
              </w:rPr>
              <w:t>、</w:t>
            </w:r>
            <w:r>
              <w:rPr>
                <w:rFonts w:hint="eastAsia"/>
                <w:szCs w:val="21"/>
              </w:rPr>
              <w:t>办公区、生活区有无设置分类垃圾箱？生活垃圾是否及时清理</w:t>
            </w:r>
            <w:r>
              <w:rPr>
                <w:rFonts w:hint="eastAsia"/>
                <w:szCs w:val="21"/>
                <w:lang w:eastAsia="zh-CN"/>
              </w:rPr>
              <w:t>、</w:t>
            </w:r>
            <w:r>
              <w:rPr>
                <w:rFonts w:hint="eastAsia" w:ascii="宋体" w:hAnsi="宋体" w:cs="宋体"/>
                <w:szCs w:val="21"/>
              </w:rPr>
              <w:t>消防栓设备完整、完好</w:t>
            </w:r>
            <w:r>
              <w:rPr>
                <w:rFonts w:hint="eastAsia" w:ascii="宋体" w:hAnsi="宋体" w:cs="宋体"/>
                <w:szCs w:val="21"/>
                <w:lang w:eastAsia="zh-CN"/>
              </w:rPr>
              <w:t>、</w:t>
            </w:r>
            <w:r>
              <w:rPr>
                <w:rFonts w:hint="eastAsia"/>
                <w:szCs w:val="21"/>
              </w:rPr>
              <w:t>灭火器材配置适宜并在有效期</w:t>
            </w:r>
            <w:r>
              <w:rPr>
                <w:rFonts w:hint="eastAsia" w:asciiTheme="minorEastAsia" w:hAnsiTheme="minorEastAsia" w:eastAsiaTheme="minorEastAsia"/>
                <w:szCs w:val="21"/>
              </w:rPr>
              <w:t>等各种管线路、生活卫生设施、固废处理、物资摆放、标识等进行检查，检查结论：合</w:t>
            </w:r>
            <w:r>
              <w:rPr>
                <w:rFonts w:hint="eastAsia" w:asciiTheme="minorEastAsia" w:hAnsiTheme="minorEastAsia" w:eastAsiaTheme="minorEastAsia"/>
                <w:color w:val="auto"/>
                <w:szCs w:val="21"/>
              </w:rPr>
              <w:t>格、检查人：</w:t>
            </w:r>
            <w:r>
              <w:rPr>
                <w:rFonts w:hint="eastAsia" w:asciiTheme="minorEastAsia" w:hAnsiTheme="minorEastAsia" w:eastAsiaTheme="minorEastAsia"/>
                <w:color w:val="auto"/>
                <w:szCs w:val="21"/>
                <w:lang w:val="en-US" w:eastAsia="zh-CN"/>
              </w:rPr>
              <w:t>卢慧</w:t>
            </w:r>
            <w:r>
              <w:rPr>
                <w:rFonts w:hint="eastAsia" w:asciiTheme="minorEastAsia" w:hAnsiTheme="minorEastAsia" w:eastAsiaTheme="minorEastAsia"/>
                <w:color w:val="auto"/>
                <w:szCs w:val="21"/>
              </w:rPr>
              <w:t>。查见2019年</w:t>
            </w:r>
            <w:r>
              <w:rPr>
                <w:rFonts w:hint="eastAsia" w:asciiTheme="minorEastAsia" w:hAnsiTheme="minorEastAsia" w:eastAsiaTheme="minorEastAsia"/>
                <w:color w:val="auto"/>
                <w:szCs w:val="21"/>
                <w:lang w:val="en-US" w:eastAsia="zh-CN"/>
              </w:rPr>
              <w:t>10</w:t>
            </w:r>
            <w:r>
              <w:rPr>
                <w:rFonts w:hint="eastAsia" w:asciiTheme="minorEastAsia" w:hAnsiTheme="minorEastAsia" w:eastAsiaTheme="minorEastAsia"/>
                <w:color w:val="auto"/>
                <w:szCs w:val="21"/>
              </w:rPr>
              <w:t>月至2019年</w:t>
            </w:r>
            <w:r>
              <w:rPr>
                <w:rFonts w:hint="eastAsia" w:asciiTheme="minorEastAsia" w:hAnsiTheme="minorEastAsia" w:eastAsiaTheme="minorEastAsia"/>
                <w:color w:val="auto"/>
                <w:szCs w:val="21"/>
                <w:lang w:val="en-US" w:eastAsia="zh-CN"/>
              </w:rPr>
              <w:t>12</w:t>
            </w:r>
            <w:r>
              <w:rPr>
                <w:rFonts w:hint="eastAsia" w:asciiTheme="minorEastAsia" w:hAnsiTheme="minorEastAsia" w:eastAsiaTheme="minorEastAsia"/>
                <w:color w:val="auto"/>
                <w:szCs w:val="21"/>
              </w:rPr>
              <w:t>月份办公区域和仓库的环境、安全环境检查记录表，</w:t>
            </w:r>
          </w:p>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检查内容符合标准规定要求。</w:t>
            </w:r>
          </w:p>
          <w:p>
            <w:pPr>
              <w:rPr>
                <w:rFonts w:asciiTheme="minorEastAsia" w:hAnsiTheme="minorEastAsia" w:eastAsiaTheme="minorEastAsia"/>
                <w:szCs w:val="21"/>
              </w:rPr>
            </w:pPr>
            <w:r>
              <w:rPr>
                <w:rFonts w:asciiTheme="minorEastAsia" w:hAnsiTheme="minorEastAsia" w:eastAsiaTheme="minorEastAsia"/>
                <w:color w:val="auto"/>
                <w:szCs w:val="21"/>
              </w:rPr>
              <w:t>负责人介绍：</w:t>
            </w:r>
            <w:r>
              <w:rPr>
                <w:rFonts w:hint="eastAsia" w:asciiTheme="minorEastAsia" w:hAnsiTheme="minorEastAsia" w:eastAsiaTheme="minorEastAsia"/>
                <w:color w:val="auto"/>
                <w:szCs w:val="21"/>
              </w:rPr>
              <w:t>自体系建立以来没有发生过安全事故。</w:t>
            </w:r>
          </w:p>
        </w:tc>
        <w:tc>
          <w:tcPr>
            <w:tcW w:w="1585" w:type="dxa"/>
          </w:tcPr>
          <w:p>
            <w:pP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符合</w:t>
            </w: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cs="新宋体" w:asciiTheme="minorEastAsia" w:hAnsiTheme="minorEastAsia" w:eastAsiaTheme="minorEastAsia"/>
                <w:szCs w:val="21"/>
              </w:rPr>
            </w:pPr>
            <w:r>
              <w:rPr>
                <w:rFonts w:hint="eastAsia" w:cs="新宋体" w:asciiTheme="minorEastAsia" w:hAnsiTheme="minorEastAsia" w:eastAsiaTheme="minorEastAsia"/>
                <w:szCs w:val="21"/>
              </w:rPr>
              <w:t>符合性评估</w:t>
            </w:r>
          </w:p>
        </w:tc>
        <w:tc>
          <w:tcPr>
            <w:tcW w:w="960" w:type="dxa"/>
          </w:tcPr>
          <w:p>
            <w:pPr>
              <w:rPr>
                <w:rFonts w:cs="新宋体" w:asciiTheme="minorEastAsia" w:hAnsiTheme="minorEastAsia" w:eastAsiaTheme="minorEastAsia"/>
                <w:szCs w:val="21"/>
              </w:rPr>
            </w:pPr>
            <w:r>
              <w:rPr>
                <w:rFonts w:hint="eastAsia" w:cs="新宋体" w:asciiTheme="minorEastAsia" w:hAnsiTheme="minorEastAsia" w:eastAsiaTheme="minorEastAsia"/>
                <w:szCs w:val="21"/>
              </w:rPr>
              <w:t xml:space="preserve">E9.1.2 </w:t>
            </w:r>
          </w:p>
          <w:p>
            <w:pPr>
              <w:rPr>
                <w:rFonts w:cs="新宋体" w:asciiTheme="minorEastAsia" w:hAnsiTheme="minorEastAsia" w:eastAsiaTheme="minorEastAsia"/>
                <w:szCs w:val="21"/>
              </w:rPr>
            </w:pPr>
          </w:p>
        </w:tc>
        <w:tc>
          <w:tcPr>
            <w:tcW w:w="10004" w:type="dxa"/>
          </w:tcPr>
          <w:p>
            <w:pPr>
              <w:ind w:firstLine="210" w:firstLineChars="1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编制了</w:t>
            </w:r>
            <w:r>
              <w:rPr>
                <w:rFonts w:hint="eastAsia" w:asciiTheme="minorEastAsia" w:hAnsiTheme="minorEastAsia" w:eastAsiaTheme="minorEastAsia"/>
                <w:szCs w:val="21"/>
              </w:rPr>
              <w:t>《合规性评价控制程序》，规定明确基本合理。</w:t>
            </w:r>
            <w:r>
              <w:rPr>
                <w:rFonts w:hint="eastAsia" w:asciiTheme="minorEastAsia" w:hAnsiTheme="minorEastAsia" w:eastAsiaTheme="minorEastAsia"/>
                <w:szCs w:val="21"/>
                <w:lang w:eastAsia="zh-CN"/>
              </w:rPr>
              <w:t>综合部</w:t>
            </w:r>
            <w:r>
              <w:rPr>
                <w:rFonts w:hint="eastAsia" w:asciiTheme="minorEastAsia" w:hAnsiTheme="minorEastAsia" w:eastAsiaTheme="minorEastAsia"/>
                <w:szCs w:val="21"/>
              </w:rPr>
              <w:t>组织对公司环境管理活动，遵守相关法律法规和其他要求情况进行评价，评价结果符合相关法律法规和其他要求，无违法违规情况并保持有合规性评价记录。</w:t>
            </w:r>
          </w:p>
          <w:p>
            <w:pPr>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查见《合规性评价报告》，查由</w:t>
            </w:r>
            <w:r>
              <w:rPr>
                <w:rFonts w:hint="eastAsia" w:asciiTheme="minorEastAsia" w:hAnsiTheme="minorEastAsia" w:eastAsiaTheme="minorEastAsia"/>
                <w:szCs w:val="21"/>
                <w:lang w:eastAsia="zh-CN"/>
              </w:rPr>
              <w:t>综合部</w:t>
            </w:r>
            <w:r>
              <w:rPr>
                <w:rFonts w:hint="eastAsia" w:asciiTheme="minorEastAsia" w:hAnsiTheme="minorEastAsia" w:eastAsiaTheme="minorEastAsia"/>
                <w:szCs w:val="21"/>
              </w:rPr>
              <w:t>组织各部</w:t>
            </w:r>
            <w:r>
              <w:rPr>
                <w:rFonts w:hint="eastAsia" w:asciiTheme="minorEastAsia" w:hAnsiTheme="minorEastAsia" w:eastAsiaTheme="minorEastAsia"/>
                <w:color w:val="auto"/>
                <w:szCs w:val="21"/>
              </w:rPr>
              <w:t>门于2019年</w:t>
            </w:r>
            <w:r>
              <w:rPr>
                <w:rFonts w:hint="eastAsia" w:asciiTheme="minorEastAsia" w:hAnsiTheme="minorEastAsia" w:eastAsiaTheme="minorEastAsia"/>
                <w:color w:val="auto"/>
                <w:szCs w:val="21"/>
                <w:lang w:val="en-US" w:eastAsia="zh-CN"/>
              </w:rPr>
              <w:t>9</w:t>
            </w:r>
            <w:r>
              <w:rPr>
                <w:rFonts w:hint="eastAsia" w:asciiTheme="minorEastAsia" w:hAnsiTheme="minorEastAsia" w:eastAsiaTheme="minorEastAsia"/>
                <w:color w:val="auto"/>
                <w:szCs w:val="21"/>
              </w:rPr>
              <w:t>月</w:t>
            </w:r>
            <w:r>
              <w:rPr>
                <w:rFonts w:hint="eastAsia" w:asciiTheme="minorEastAsia" w:hAnsiTheme="minorEastAsia" w:eastAsiaTheme="minorEastAsia"/>
                <w:color w:val="auto"/>
                <w:szCs w:val="21"/>
                <w:lang w:val="en-US" w:eastAsia="zh-CN"/>
              </w:rPr>
              <w:t>10</w:t>
            </w:r>
            <w:r>
              <w:rPr>
                <w:rFonts w:hint="eastAsia" w:asciiTheme="minorEastAsia" w:hAnsiTheme="minorEastAsia" w:eastAsiaTheme="minorEastAsia"/>
                <w:color w:val="auto"/>
                <w:szCs w:val="21"/>
              </w:rPr>
              <w:t>日,</w:t>
            </w:r>
            <w:r>
              <w:rPr>
                <w:rFonts w:hint="eastAsia" w:asciiTheme="minorEastAsia" w:hAnsiTheme="minorEastAsia" w:eastAsiaTheme="minorEastAsia"/>
                <w:szCs w:val="21"/>
              </w:rPr>
              <w:t>对公司管理和经营活动中涉及的重要环境因素、危险源、法律法规进行了评价。</w:t>
            </w:r>
          </w:p>
          <w:p>
            <w:pPr>
              <w:spacing w:line="380" w:lineRule="exact"/>
              <w:rPr>
                <w:szCs w:val="21"/>
              </w:rPr>
            </w:pPr>
            <w:r>
              <w:rPr>
                <w:rFonts w:asciiTheme="minorEastAsia" w:hAnsiTheme="minorEastAsia" w:eastAsiaTheme="minorEastAsia"/>
                <w:szCs w:val="21"/>
              </w:rPr>
              <w:t>评价内容：</w:t>
            </w:r>
            <w:r>
              <w:rPr>
                <w:rFonts w:hint="eastAsia" w:asciiTheme="minorEastAsia" w:hAnsiTheme="minorEastAsia" w:eastAsiaTheme="minorEastAsia"/>
                <w:szCs w:val="21"/>
              </w:rPr>
              <w:t>1、</w:t>
            </w:r>
            <w:r>
              <w:rPr>
                <w:rFonts w:hint="eastAsia"/>
                <w:szCs w:val="21"/>
              </w:rPr>
              <w:t>能源资源的消耗：办公区用水、电、纸张消耗及工程项目现场施工中所用的材料。</w:t>
            </w:r>
          </w:p>
          <w:p>
            <w:pPr>
              <w:widowControl/>
              <w:jc w:val="left"/>
              <w:rPr>
                <w:szCs w:val="21"/>
              </w:rPr>
            </w:pPr>
            <w:r>
              <w:rPr>
                <w:rFonts w:hint="eastAsia"/>
                <w:szCs w:val="21"/>
              </w:rPr>
              <w:t>执行情况：</w:t>
            </w:r>
            <w:r>
              <w:rPr>
                <w:szCs w:val="21"/>
              </w:rPr>
              <w:t xml:space="preserve"> 1</w:t>
            </w:r>
            <w:r>
              <w:rPr>
                <w:rFonts w:hint="eastAsia"/>
                <w:szCs w:val="21"/>
              </w:rPr>
              <w:t>）公司办公场所：人走灯熄，纸张双面打印，节约用水；</w:t>
            </w:r>
            <w:r>
              <w:rPr>
                <w:szCs w:val="21"/>
              </w:rPr>
              <w:t xml:space="preserve"> 2</w:t>
            </w:r>
            <w:r>
              <w:rPr>
                <w:rFonts w:hint="eastAsia"/>
                <w:szCs w:val="21"/>
              </w:rPr>
              <w:t>）工程项目办公场所：临时用电、纸张双面打印、节约用水及在项目施工组织设计中，对原材料的消耗，依据预算指定了消耗的定额，以降低成本，节约资源，同时采用新材料、新技术、新工艺、新设备来提高对资源的节约，</w:t>
            </w:r>
          </w:p>
          <w:p>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w:t>
            </w:r>
            <w:r>
              <w:rPr>
                <w:rFonts w:hint="eastAsia" w:asciiTheme="minorEastAsia" w:hAnsiTheme="minorEastAsia" w:eastAsiaTheme="minorEastAsia"/>
                <w:szCs w:val="21"/>
              </w:rPr>
              <w:t>污</w:t>
            </w:r>
            <w:r>
              <w:rPr>
                <w:rFonts w:asciiTheme="minorEastAsia" w:hAnsiTheme="minorEastAsia" w:eastAsiaTheme="minorEastAsia"/>
                <w:szCs w:val="21"/>
              </w:rPr>
              <w:t>水排放：</w:t>
            </w:r>
            <w:r>
              <w:rPr>
                <w:rFonts w:hint="eastAsia" w:cs="宋体" w:asciiTheme="minorEastAsia" w:hAnsiTheme="minorEastAsia" w:eastAsiaTheme="minorEastAsia"/>
                <w:kern w:val="0"/>
                <w:szCs w:val="21"/>
              </w:rPr>
              <w:t>公司污水：生活废水都由化粪池处理后排入市政污水管网，符合《中华人民共和国水污染防治法》的有关要求，符合《中华人民共和国水污染防治法实施细则》的有关要求，符合</w:t>
            </w:r>
            <w:r>
              <w:rPr>
                <w:rFonts w:cs="Arial" w:asciiTheme="minorEastAsia" w:hAnsiTheme="minorEastAsia" w:eastAsiaTheme="minorEastAsia"/>
                <w:szCs w:val="21"/>
              </w:rPr>
              <w:t>GB8978-</w:t>
            </w:r>
            <w:r>
              <w:rPr>
                <w:rFonts w:hint="eastAsia" w:asciiTheme="minorEastAsia" w:hAnsiTheme="minorEastAsia" w:eastAsiaTheme="minorEastAsia"/>
                <w:szCs w:val="21"/>
              </w:rPr>
              <w:t>1996</w:t>
            </w:r>
            <w:r>
              <w:rPr>
                <w:rFonts w:hint="eastAsia" w:cs="宋体" w:asciiTheme="minorEastAsia" w:hAnsiTheme="minorEastAsia" w:eastAsiaTheme="minorEastAsia"/>
                <w:kern w:val="0"/>
                <w:szCs w:val="21"/>
              </w:rPr>
              <w:t>《</w:t>
            </w:r>
            <w:r>
              <w:rPr>
                <w:rFonts w:asciiTheme="minorEastAsia" w:hAnsiTheme="minorEastAsia" w:eastAsiaTheme="minorEastAsia"/>
                <w:szCs w:val="21"/>
              </w:rPr>
              <w:t>污水综合排放标准</w:t>
            </w:r>
            <w:r>
              <w:rPr>
                <w:rFonts w:hint="eastAsia" w:cs="宋体" w:asciiTheme="minorEastAsia" w:hAnsiTheme="minorEastAsia" w:eastAsiaTheme="minorEastAsia"/>
                <w:kern w:val="0"/>
                <w:szCs w:val="21"/>
              </w:rPr>
              <w:t>》的有关要求。</w:t>
            </w:r>
          </w:p>
          <w:p>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3.噪声排放情况：</w:t>
            </w:r>
            <w:r>
              <w:rPr>
                <w:rFonts w:hint="eastAsia" w:cs="宋体" w:asciiTheme="minorEastAsia" w:hAnsiTheme="minorEastAsia" w:eastAsiaTheme="minorEastAsia"/>
                <w:kern w:val="0"/>
                <w:szCs w:val="21"/>
              </w:rPr>
              <w:br w:type="textWrapping"/>
            </w:r>
            <w:r>
              <w:rPr>
                <w:rFonts w:hint="eastAsia" w:cs="宋体" w:asciiTheme="minorEastAsia" w:hAnsiTheme="minorEastAsia" w:eastAsiaTheme="minorEastAsia"/>
                <w:kern w:val="0"/>
                <w:szCs w:val="21"/>
              </w:rPr>
              <w:t xml:space="preserve">  公司噪声源是施工过程中设备运行时产生的机械噪声。符合《中华人民共和国环境噪声污染防治法》、GB12348-2008</w:t>
            </w:r>
            <w:r>
              <w:rPr>
                <w:rFonts w:cs="宋体" w:asciiTheme="minorEastAsia" w:hAnsiTheme="minorEastAsia" w:eastAsiaTheme="minorEastAsia"/>
                <w:kern w:val="0"/>
                <w:szCs w:val="21"/>
              </w:rPr>
              <w:t>《工业企业厂界环境噪声排放标准》</w:t>
            </w:r>
            <w:r>
              <w:rPr>
                <w:rFonts w:hint="eastAsia" w:cs="宋体" w:asciiTheme="minorEastAsia" w:hAnsiTheme="minorEastAsia" w:eastAsiaTheme="minorEastAsia"/>
                <w:kern w:val="0"/>
                <w:szCs w:val="21"/>
              </w:rPr>
              <w:t>的有关要求。</w:t>
            </w:r>
          </w:p>
          <w:p>
            <w:pPr>
              <w:pStyle w:val="10"/>
              <w:rPr>
                <w:rFonts w:cs="宋体" w:asciiTheme="minorEastAsia" w:hAnsiTheme="minorEastAsia" w:eastAsiaTheme="minorEastAsia"/>
                <w:color w:val="auto"/>
                <w:sz w:val="21"/>
                <w:szCs w:val="21"/>
              </w:rPr>
            </w:pPr>
            <w:r>
              <w:rPr>
                <w:rFonts w:asciiTheme="minorEastAsia" w:hAnsiTheme="minorEastAsia" w:eastAsiaTheme="minorEastAsia"/>
                <w:color w:val="auto"/>
                <w:sz w:val="21"/>
                <w:szCs w:val="21"/>
              </w:rPr>
              <w:t>固废处置：遵守</w:t>
            </w:r>
            <w:r>
              <w:rPr>
                <w:rFonts w:hint="eastAsia" w:cs="宋体" w:asciiTheme="minorEastAsia" w:hAnsiTheme="minorEastAsia" w:eastAsiaTheme="minorEastAsia"/>
                <w:color w:val="auto"/>
                <w:sz w:val="21"/>
                <w:szCs w:val="21"/>
              </w:rPr>
              <w:t>《中华人民共和国固体废物污染环境防治法》《</w:t>
            </w:r>
            <w:r>
              <w:fldChar w:fldCharType="begin"/>
            </w:r>
            <w:r>
              <w:instrText xml:space="preserve"> HYPERLINK "http://www.mep.gov.cn/tech/hjbz/bzwb/gthw/gtfwwrkzbz/200207/t20020701_63216.htm" </w:instrText>
            </w:r>
            <w:r>
              <w:fldChar w:fldCharType="separate"/>
            </w:r>
            <w:r>
              <w:rPr>
                <w:rFonts w:hint="eastAsia" w:cs="宋体" w:asciiTheme="minorEastAsia" w:hAnsiTheme="minorEastAsia" w:eastAsiaTheme="minorEastAsia"/>
                <w:color w:val="auto"/>
                <w:sz w:val="21"/>
                <w:szCs w:val="21"/>
              </w:rPr>
              <w:t>一般工业固体废物贮存、处置场污染控制标准</w:t>
            </w:r>
            <w:r>
              <w:rPr>
                <w:rFonts w:hint="eastAsia" w:cs="宋体" w:asciiTheme="minorEastAsia" w:hAnsiTheme="minorEastAsia" w:eastAsiaTheme="minorEastAsia"/>
                <w:color w:val="auto"/>
                <w:sz w:val="21"/>
                <w:szCs w:val="21"/>
              </w:rPr>
              <w:fldChar w:fldCharType="end"/>
            </w:r>
            <w:r>
              <w:rPr>
                <w:rFonts w:hint="eastAsia" w:cs="宋体" w:asciiTheme="minorEastAsia" w:hAnsiTheme="minorEastAsia" w:eastAsiaTheme="minorEastAsia"/>
                <w:color w:val="auto"/>
                <w:sz w:val="21"/>
                <w:szCs w:val="21"/>
              </w:rPr>
              <w:t>》GB 18599-2001标准规定的规定。</w:t>
            </w:r>
          </w:p>
          <w:p>
            <w:pPr>
              <w:widowControl/>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废弃物执行情况：公司办公区垃圾交由物业处理；</w:t>
            </w:r>
          </w:p>
          <w:p>
            <w:pPr>
              <w:widowControl/>
              <w:jc w:val="left"/>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评价结论：符合</w:t>
            </w:r>
          </w:p>
          <w:p>
            <w:pPr>
              <w:widowControl/>
              <w:jc w:val="left"/>
              <w:rPr>
                <w:rFonts w:hint="default" w:cs="宋体" w:asciiTheme="minorEastAsia" w:hAnsiTheme="minorEastAsia" w:eastAsiaTheme="minorEastAsia"/>
                <w:kern w:val="0"/>
                <w:szCs w:val="21"/>
                <w:lang w:val="en-US" w:eastAsia="zh-CN"/>
              </w:rPr>
            </w:pPr>
            <w:r>
              <w:rPr>
                <w:rFonts w:hint="eastAsia" w:cs="宋体" w:asciiTheme="minorEastAsia" w:hAnsiTheme="minorEastAsia" w:eastAsiaTheme="minorEastAsia"/>
                <w:kern w:val="0"/>
                <w:szCs w:val="21"/>
              </w:rPr>
              <w:t>评价人：</w:t>
            </w:r>
            <w:r>
              <w:rPr>
                <w:rFonts w:hint="eastAsia" w:cs="宋体" w:asciiTheme="minorEastAsia" w:hAnsiTheme="minorEastAsia" w:eastAsiaTheme="minorEastAsia"/>
                <w:kern w:val="0"/>
                <w:szCs w:val="21"/>
                <w:lang w:val="en-US" w:eastAsia="zh-CN"/>
              </w:rPr>
              <w:t>卢慧</w:t>
            </w:r>
          </w:p>
          <w:p>
            <w:pPr>
              <w:widowControl/>
              <w:jc w:val="left"/>
              <w:rPr>
                <w:rFonts w:cs="宋体" w:asciiTheme="minorEastAsia" w:hAnsiTheme="minorEastAsia" w:eastAsiaTheme="minorEastAsia"/>
                <w:szCs w:val="21"/>
              </w:rPr>
            </w:pPr>
            <w:r>
              <w:rPr>
                <w:rFonts w:hint="eastAsia" w:cs="宋体" w:asciiTheme="minorEastAsia" w:hAnsiTheme="minorEastAsia" w:eastAsiaTheme="minorEastAsia"/>
                <w:kern w:val="0"/>
                <w:szCs w:val="21"/>
              </w:rPr>
              <w:t>有保持合规性评价的相关记录。</w:t>
            </w:r>
          </w:p>
        </w:tc>
        <w:tc>
          <w:tcPr>
            <w:tcW w:w="1585" w:type="dxa"/>
          </w:tcPr>
          <w:p>
            <w:pP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vAlign w:val="top"/>
          </w:tcPr>
          <w:p>
            <w:pPr>
              <w:adjustRightInd w:val="0"/>
              <w:snapToGrid w:val="0"/>
              <w:jc w:val="left"/>
              <w:rPr>
                <w:rFonts w:hint="eastAsia" w:cs="新宋体" w:asciiTheme="minorEastAsia" w:hAnsiTheme="minorEastAsia" w:eastAsiaTheme="minorEastAsia"/>
                <w:color w:val="auto"/>
                <w:szCs w:val="21"/>
              </w:rPr>
            </w:pPr>
            <w:r>
              <w:rPr>
                <w:rFonts w:hint="eastAsia" w:asciiTheme="minorEastAsia" w:hAnsiTheme="minorEastAsia" w:eastAsiaTheme="minorEastAsia"/>
                <w:color w:val="auto"/>
                <w:szCs w:val="21"/>
              </w:rPr>
              <w:t>内部审核</w:t>
            </w:r>
          </w:p>
        </w:tc>
        <w:tc>
          <w:tcPr>
            <w:tcW w:w="960" w:type="dxa"/>
            <w:vAlign w:val="top"/>
          </w:tcPr>
          <w:p>
            <w:pPr>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 xml:space="preserve">QE9.2 </w:t>
            </w:r>
          </w:p>
          <w:p>
            <w:pPr>
              <w:rPr>
                <w:rFonts w:cs="新宋体" w:asciiTheme="minorEastAsia" w:hAnsiTheme="minorEastAsia" w:eastAsiaTheme="minorEastAsia"/>
                <w:color w:val="auto"/>
                <w:szCs w:val="21"/>
              </w:rPr>
            </w:pPr>
          </w:p>
        </w:tc>
        <w:tc>
          <w:tcPr>
            <w:tcW w:w="10004" w:type="dxa"/>
            <w:vAlign w:val="top"/>
          </w:tcPr>
          <w:p>
            <w:pPr>
              <w:rPr>
                <w:rFonts w:hint="eastAsia"/>
                <w:color w:val="auto"/>
                <w:szCs w:val="21"/>
              </w:rPr>
            </w:pPr>
            <w:r>
              <w:rPr>
                <w:rFonts w:hint="eastAsia"/>
                <w:color w:val="auto"/>
                <w:szCs w:val="21"/>
              </w:rPr>
              <w:t>查管理手册，公司按标准要求编制了《内部审核控制程序》，规定了内部审核的目的、范围、职责、要求、方法频次等，规定每两次内审的时间不得超过12个月。</w:t>
            </w:r>
          </w:p>
          <w:p>
            <w:pPr>
              <w:rPr>
                <w:rFonts w:hint="eastAsia"/>
                <w:color w:val="auto"/>
                <w:szCs w:val="21"/>
              </w:rPr>
            </w:pPr>
            <w:r>
              <w:rPr>
                <w:rFonts w:hint="eastAsia"/>
                <w:color w:val="auto"/>
                <w:szCs w:val="21"/>
              </w:rPr>
              <w:t>查，2019年《体系审核实施计划》</w:t>
            </w:r>
          </w:p>
          <w:p>
            <w:pPr>
              <w:rPr>
                <w:rFonts w:hint="eastAsia"/>
                <w:color w:val="auto"/>
                <w:szCs w:val="21"/>
              </w:rPr>
            </w:pPr>
            <w:r>
              <w:rPr>
                <w:rFonts w:hint="eastAsia"/>
                <w:color w:val="auto"/>
                <w:szCs w:val="21"/>
              </w:rPr>
              <w:t>审核时间：2019年</w:t>
            </w:r>
            <w:r>
              <w:rPr>
                <w:rFonts w:hint="eastAsia"/>
                <w:color w:val="auto"/>
                <w:szCs w:val="21"/>
                <w:lang w:val="en-US" w:eastAsia="zh-CN"/>
              </w:rPr>
              <w:t>12</w:t>
            </w:r>
            <w:r>
              <w:rPr>
                <w:rFonts w:hint="eastAsia"/>
                <w:color w:val="auto"/>
                <w:szCs w:val="21"/>
              </w:rPr>
              <w:t>月1</w:t>
            </w:r>
            <w:r>
              <w:rPr>
                <w:rFonts w:hint="eastAsia"/>
                <w:color w:val="auto"/>
                <w:szCs w:val="21"/>
                <w:lang w:val="en-US" w:eastAsia="zh-CN"/>
              </w:rPr>
              <w:t>0</w:t>
            </w:r>
            <w:r>
              <w:rPr>
                <w:rFonts w:hint="eastAsia"/>
                <w:color w:val="auto"/>
                <w:szCs w:val="21"/>
              </w:rPr>
              <w:t>日~1</w:t>
            </w:r>
            <w:r>
              <w:rPr>
                <w:rFonts w:hint="eastAsia"/>
                <w:color w:val="auto"/>
                <w:szCs w:val="21"/>
                <w:lang w:val="en-US" w:eastAsia="zh-CN"/>
              </w:rPr>
              <w:t>2</w:t>
            </w:r>
            <w:r>
              <w:rPr>
                <w:rFonts w:hint="eastAsia"/>
                <w:color w:val="auto"/>
                <w:szCs w:val="21"/>
              </w:rPr>
              <w:t>日</w:t>
            </w:r>
          </w:p>
          <w:p>
            <w:pPr>
              <w:rPr>
                <w:rFonts w:hint="eastAsia"/>
                <w:color w:val="auto"/>
                <w:szCs w:val="21"/>
              </w:rPr>
            </w:pPr>
            <w:r>
              <w:rPr>
                <w:rFonts w:hint="eastAsia"/>
                <w:color w:val="auto"/>
                <w:szCs w:val="21"/>
              </w:rPr>
              <w:t>目的：评价管理体系与GB/T19001-2016、GB/T24001-2016 标准的符合程度；评价管理体系整体的持续有效性。</w:t>
            </w:r>
          </w:p>
          <w:p>
            <w:pPr>
              <w:rPr>
                <w:rFonts w:hint="eastAsia"/>
                <w:color w:val="auto"/>
                <w:szCs w:val="21"/>
              </w:rPr>
            </w:pPr>
            <w:r>
              <w:rPr>
                <w:rFonts w:hint="eastAsia"/>
                <w:color w:val="auto"/>
                <w:szCs w:val="21"/>
              </w:rPr>
              <w:t>范围：本组织质量/环境管理体系覆盖的部门/场所的生产/服务/活动</w:t>
            </w:r>
          </w:p>
          <w:p>
            <w:pPr>
              <w:rPr>
                <w:rFonts w:hint="eastAsia"/>
                <w:color w:val="auto"/>
                <w:szCs w:val="21"/>
              </w:rPr>
            </w:pPr>
            <w:r>
              <w:rPr>
                <w:rFonts w:hint="eastAsia"/>
                <w:color w:val="auto"/>
                <w:szCs w:val="21"/>
              </w:rPr>
              <w:t>依据：GB/T19001-2016、 GB/T24001-2016 标准，管理手册，适用法律法规</w:t>
            </w:r>
          </w:p>
          <w:p>
            <w:pPr>
              <w:rPr>
                <w:rFonts w:hint="eastAsia" w:eastAsia="宋体"/>
                <w:color w:val="auto"/>
                <w:szCs w:val="21"/>
                <w:lang w:eastAsia="zh-CN"/>
              </w:rPr>
            </w:pPr>
            <w:r>
              <w:rPr>
                <w:rFonts w:hint="eastAsia"/>
                <w:color w:val="auto"/>
                <w:szCs w:val="21"/>
              </w:rPr>
              <w:t>审核组组长：</w:t>
            </w:r>
            <w:r>
              <w:rPr>
                <w:rFonts w:hint="eastAsia"/>
                <w:color w:val="auto"/>
              </w:rPr>
              <w:t>卢慧</w:t>
            </w:r>
            <w:r>
              <w:rPr>
                <w:rFonts w:hint="eastAsia"/>
                <w:color w:val="auto"/>
                <w:szCs w:val="21"/>
              </w:rPr>
              <w:t xml:space="preserve"> ；组员：</w:t>
            </w:r>
            <w:r>
              <w:rPr>
                <w:rFonts w:hint="eastAsia"/>
                <w:color w:val="auto"/>
                <w:szCs w:val="24"/>
              </w:rPr>
              <w:t>程广鹏</w:t>
            </w:r>
          </w:p>
          <w:p>
            <w:pPr>
              <w:rPr>
                <w:rFonts w:hint="eastAsia"/>
                <w:color w:val="auto"/>
                <w:szCs w:val="21"/>
              </w:rPr>
            </w:pPr>
            <w:r>
              <w:rPr>
                <w:rFonts w:hint="eastAsia"/>
                <w:color w:val="auto"/>
                <w:szCs w:val="21"/>
              </w:rPr>
              <w:t>抽查</w:t>
            </w:r>
            <w:r>
              <w:rPr>
                <w:rFonts w:hint="eastAsia"/>
                <w:color w:val="auto"/>
                <w:szCs w:val="21"/>
                <w:lang w:eastAsia="zh-CN"/>
              </w:rPr>
              <w:t>综合部</w:t>
            </w:r>
            <w:r>
              <w:rPr>
                <w:rFonts w:hint="eastAsia"/>
                <w:color w:val="auto"/>
                <w:szCs w:val="21"/>
              </w:rPr>
              <w:t>审核检查表、</w:t>
            </w:r>
            <w:r>
              <w:rPr>
                <w:rFonts w:hint="eastAsia"/>
                <w:color w:val="auto"/>
                <w:szCs w:val="21"/>
                <w:lang w:eastAsia="zh-CN"/>
              </w:rPr>
              <w:t>工程部</w:t>
            </w:r>
            <w:r>
              <w:rPr>
                <w:rFonts w:hint="eastAsia"/>
                <w:color w:val="auto"/>
                <w:szCs w:val="21"/>
              </w:rPr>
              <w:t>、</w:t>
            </w:r>
            <w:r>
              <w:rPr>
                <w:rFonts w:hint="eastAsia"/>
                <w:color w:val="auto"/>
                <w:szCs w:val="21"/>
                <w:lang w:eastAsia="zh-CN"/>
              </w:rPr>
              <w:t>采购部</w:t>
            </w:r>
            <w:r>
              <w:rPr>
                <w:rFonts w:hint="eastAsia"/>
                <w:color w:val="auto"/>
                <w:szCs w:val="21"/>
              </w:rPr>
              <w:t>审核检查表等审核记录，审核过程及条款基本齐全，不存在审核自己部门的情况。</w:t>
            </w:r>
          </w:p>
          <w:p>
            <w:pPr>
              <w:rPr>
                <w:rFonts w:hint="eastAsia"/>
                <w:color w:val="auto"/>
                <w:szCs w:val="21"/>
              </w:rPr>
            </w:pPr>
            <w:r>
              <w:rPr>
                <w:rFonts w:hint="eastAsia"/>
                <w:color w:val="auto"/>
                <w:szCs w:val="21"/>
              </w:rPr>
              <w:t>查本次内审共发现不合格项1个，属一般不符合。涉及业务部审核中发现没有“未对新进员工进行有效的培训”。不符合ISO9001-2015标准</w:t>
            </w:r>
            <w:r>
              <w:rPr>
                <w:rFonts w:hint="eastAsia"/>
                <w:color w:val="auto"/>
                <w:szCs w:val="21"/>
                <w:lang w:val="en-US" w:eastAsia="zh-CN"/>
              </w:rPr>
              <w:t>7.2</w:t>
            </w:r>
            <w:r>
              <w:rPr>
                <w:rFonts w:hint="eastAsia"/>
                <w:color w:val="auto"/>
                <w:szCs w:val="21"/>
              </w:rPr>
              <w:t>条款、GB/T24001-2016标准</w:t>
            </w:r>
            <w:r>
              <w:rPr>
                <w:rFonts w:hint="eastAsia"/>
                <w:color w:val="auto"/>
                <w:szCs w:val="21"/>
                <w:lang w:val="en-US" w:eastAsia="zh-CN"/>
              </w:rPr>
              <w:t>7.2</w:t>
            </w:r>
            <w:r>
              <w:rPr>
                <w:rFonts w:hint="eastAsia"/>
                <w:color w:val="auto"/>
                <w:szCs w:val="21"/>
              </w:rPr>
              <w:t>条款的规定。不合格类型：均为一般不合格，已经对不合格原因进行了分析，制订了纠正措施，并对结果进行了验证。</w:t>
            </w:r>
          </w:p>
          <w:p>
            <w:pPr>
              <w:rPr>
                <w:rFonts w:hint="eastAsia"/>
                <w:color w:val="auto"/>
                <w:szCs w:val="21"/>
              </w:rPr>
            </w:pPr>
            <w:r>
              <w:rPr>
                <w:rFonts w:hint="eastAsia"/>
                <w:color w:val="auto"/>
                <w:szCs w:val="21"/>
              </w:rPr>
              <w:t>查，审核结论：公司质量、环境管理体系的建立符合标准要求、实施有效。</w:t>
            </w:r>
          </w:p>
          <w:p>
            <w:pPr>
              <w:rPr>
                <w:rFonts w:hint="eastAsia" w:cs="宋体" w:asciiTheme="minorEastAsia" w:hAnsiTheme="minorEastAsia" w:eastAsiaTheme="minorEastAsia"/>
                <w:color w:val="auto"/>
                <w:kern w:val="0"/>
                <w:szCs w:val="21"/>
              </w:rPr>
            </w:pPr>
            <w:r>
              <w:rPr>
                <w:rFonts w:hint="eastAsia"/>
                <w:color w:val="auto"/>
                <w:szCs w:val="21"/>
              </w:rPr>
              <w:t>通过内部审核，公司质量、环境管理体系的建立实施是有效的，符合标准要求。</w:t>
            </w:r>
          </w:p>
        </w:tc>
        <w:tc>
          <w:tcPr>
            <w:tcW w:w="1585" w:type="dxa"/>
            <w:vAlign w:val="top"/>
          </w:tcPr>
          <w:p>
            <w:pPr>
              <w:rPr>
                <w:rFonts w:hint="eastAsia" w:asciiTheme="minorEastAsia" w:hAnsiTheme="minorEastAsia" w:eastAsiaTheme="minorEastAsia"/>
                <w:color w:val="auto"/>
                <w:szCs w:val="21"/>
                <w:lang w:eastAsia="zh-CN"/>
              </w:rPr>
            </w:pPr>
            <w:r>
              <w:rPr>
                <w:rFonts w:hint="eastAsia" w:asciiTheme="minorEastAsia" w:hAnsiTheme="minorEastAsia" w:eastAsiaTheme="minorEastAsia"/>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rPr>
                <w:rFonts w:asciiTheme="minorEastAsia" w:hAnsiTheme="minorEastAsia" w:eastAsiaTheme="minorEastAsia"/>
                <w:szCs w:val="21"/>
              </w:rPr>
            </w:pPr>
            <w:r>
              <w:rPr>
                <w:rFonts w:hint="eastAsia" w:asciiTheme="minorEastAsia" w:hAnsiTheme="minorEastAsia" w:eastAsiaTheme="minorEastAsia"/>
                <w:szCs w:val="21"/>
              </w:rPr>
              <w:t>不符合和纠正措施</w:t>
            </w:r>
          </w:p>
          <w:p>
            <w:pPr>
              <w:adjustRightInd w:val="0"/>
              <w:snapToGrid w:val="0"/>
              <w:jc w:val="left"/>
              <w:rPr>
                <w:rFonts w:cs="新宋体" w:asciiTheme="minorEastAsia" w:hAnsiTheme="minorEastAsia" w:eastAsiaTheme="minorEastAsia"/>
                <w:szCs w:val="21"/>
              </w:rPr>
            </w:pPr>
          </w:p>
        </w:tc>
        <w:tc>
          <w:tcPr>
            <w:tcW w:w="960" w:type="dxa"/>
          </w:tcPr>
          <w:p>
            <w:pPr>
              <w:rPr>
                <w:rFonts w:asciiTheme="minorEastAsia" w:hAnsiTheme="minorEastAsia" w:eastAsiaTheme="minorEastAsia"/>
                <w:szCs w:val="21"/>
              </w:rPr>
            </w:pPr>
            <w:r>
              <w:rPr>
                <w:rFonts w:hint="eastAsia" w:asciiTheme="minorEastAsia" w:hAnsiTheme="minorEastAsia" w:eastAsiaTheme="minorEastAsia"/>
                <w:szCs w:val="21"/>
              </w:rPr>
              <w:t>QE10.2;</w:t>
            </w:r>
          </w:p>
          <w:p>
            <w:pPr>
              <w:rPr>
                <w:rFonts w:cs="新宋体" w:asciiTheme="minorEastAsia" w:hAnsiTheme="minorEastAsia" w:eastAsiaTheme="minorEastAsia"/>
                <w:szCs w:val="21"/>
              </w:rPr>
            </w:pPr>
          </w:p>
        </w:tc>
        <w:tc>
          <w:tcPr>
            <w:tcW w:w="10004" w:type="dxa"/>
          </w:tcPr>
          <w:p>
            <w:pPr>
              <w:rPr>
                <w:rFonts w:hint="eastAsia" w:asciiTheme="minorEastAsia" w:hAnsiTheme="minorEastAsia" w:eastAsiaTheme="minorEastAsia"/>
                <w:szCs w:val="21"/>
              </w:rPr>
            </w:pPr>
            <w:r>
              <w:rPr>
                <w:rFonts w:hint="eastAsia" w:asciiTheme="minorEastAsia" w:hAnsiTheme="minorEastAsia" w:eastAsiaTheme="minorEastAsia"/>
                <w:szCs w:val="21"/>
              </w:rPr>
              <w:t>公司制定系列程序文件《管理评审制度》、《纠正措施管理制度》及《内部审核管理制度》等，对持续改进的过程予以规定，以实现</w:t>
            </w:r>
            <w:r>
              <w:rPr>
                <w:rFonts w:hint="eastAsia" w:asciiTheme="minorEastAsia" w:hAnsiTheme="minorEastAsia" w:eastAsiaTheme="minorEastAsia"/>
                <w:szCs w:val="21"/>
                <w:lang w:val="en-US" w:eastAsia="zh-CN"/>
              </w:rPr>
              <w:t>质量和</w:t>
            </w:r>
            <w:r>
              <w:rPr>
                <w:rFonts w:hint="eastAsia" w:asciiTheme="minorEastAsia" w:hAnsiTheme="minorEastAsia" w:eastAsiaTheme="minorEastAsia"/>
                <w:szCs w:val="21"/>
              </w:rPr>
              <w:t>环境管理体系及产品符合性的持续改进。持续改进的过程包含持续改进的提出、立项、不合格的原因的分析、纠正措施的确定、跟踪和评价及负责部门和人员职责等。</w:t>
            </w:r>
          </w:p>
          <w:p>
            <w:pPr>
              <w:rPr>
                <w:rFonts w:asciiTheme="minorEastAsia" w:hAnsiTheme="minorEastAsia" w:eastAsiaTheme="minorEastAsia"/>
                <w:szCs w:val="21"/>
              </w:rPr>
            </w:pPr>
            <w:r>
              <w:rPr>
                <w:rFonts w:hint="eastAsia" w:asciiTheme="minorEastAsia" w:hAnsiTheme="minorEastAsia" w:eastAsiaTheme="minorEastAsia"/>
                <w:szCs w:val="21"/>
              </w:rPr>
              <w:t>公司主要按策划的管理手册、程序文件等实施运行，主要采用内审、管理评审、数据分析、纠正和预防措施、方针和目标等来实现对</w:t>
            </w:r>
            <w:r>
              <w:rPr>
                <w:rFonts w:hint="eastAsia" w:asciiTheme="minorEastAsia" w:hAnsiTheme="minorEastAsia" w:eastAsiaTheme="minorEastAsia"/>
                <w:szCs w:val="21"/>
                <w:lang w:val="en-US" w:eastAsia="zh-CN"/>
              </w:rPr>
              <w:t>质量和</w:t>
            </w:r>
            <w:r>
              <w:rPr>
                <w:rFonts w:hint="eastAsia" w:asciiTheme="minorEastAsia" w:hAnsiTheme="minorEastAsia" w:eastAsiaTheme="minorEastAsia"/>
                <w:szCs w:val="21"/>
              </w:rPr>
              <w:t>环境管理体系的改进，另外主要通过日常工作中发现的问题及时予以调整解决来实现。</w:t>
            </w:r>
          </w:p>
        </w:tc>
        <w:tc>
          <w:tcPr>
            <w:tcW w:w="1585" w:type="dxa"/>
          </w:tcPr>
          <w:p>
            <w:pPr>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符合</w:t>
            </w:r>
          </w:p>
        </w:tc>
      </w:tr>
    </w:tbl>
    <w:p>
      <w:pPr>
        <w:pStyle w:val="8"/>
        <w:rPr>
          <w:rFonts w:asciiTheme="minorEastAsia" w:hAnsiTheme="minorEastAsia" w:eastAsiaTheme="minorEastAsia"/>
          <w:sz w:val="21"/>
          <w:szCs w:val="21"/>
        </w:rPr>
      </w:pPr>
      <w:r>
        <w:rPr>
          <w:rFonts w:hint="eastAsia" w:asciiTheme="minorEastAsia" w:hAnsiTheme="minorEastAsia" w:eastAsiaTheme="minorEastAsia"/>
          <w:sz w:val="21"/>
          <w:szCs w:val="21"/>
        </w:rPr>
        <w:t>说明：不符合标注N</w:t>
      </w:r>
    </w:p>
    <w:p>
      <w:pPr>
        <w:pStyle w:val="8"/>
        <w:rPr>
          <w:rFonts w:asciiTheme="minorEastAsia" w:hAnsiTheme="minorEastAsia" w:eastAsiaTheme="minorEastAsia"/>
          <w:sz w:val="21"/>
          <w:szCs w:val="21"/>
        </w:rPr>
      </w:pPr>
    </w:p>
    <w:p>
      <w:pPr>
        <w:pStyle w:val="8"/>
        <w:rPr>
          <w:rFonts w:asciiTheme="minorEastAsia" w:hAnsiTheme="minorEastAsia" w:eastAsiaTheme="minorEastAsia"/>
          <w:sz w:val="21"/>
          <w:szCs w:val="21"/>
        </w:rPr>
      </w:pPr>
    </w:p>
    <w:p>
      <w:pPr>
        <w:pStyle w:val="8"/>
        <w:rPr>
          <w:rFonts w:asciiTheme="minorEastAsia" w:hAnsiTheme="minorEastAsia" w:eastAsiaTheme="minorEastAsia"/>
          <w:sz w:val="21"/>
          <w:szCs w:val="21"/>
        </w:rPr>
      </w:pPr>
    </w:p>
    <w:p>
      <w:pPr>
        <w:pStyle w:val="8"/>
        <w:rPr>
          <w:rFonts w:asciiTheme="minorEastAsia" w:hAnsiTheme="minorEastAsia" w:eastAsiaTheme="minorEastAsia"/>
          <w:sz w:val="21"/>
          <w:szCs w:val="21"/>
        </w:rPr>
      </w:pPr>
    </w:p>
    <w:p>
      <w:pPr>
        <w:pStyle w:val="2"/>
        <w:rPr>
          <w:rFonts w:asciiTheme="minorEastAsia" w:hAnsiTheme="minorEastAsia" w:eastAsiaTheme="minorEastAsia"/>
          <w:szCs w:val="21"/>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8"/>
              <w:jc w:val="center"/>
            </w:pPr>
            <w:r>
              <w:rPr>
                <w:b/>
                <w:sz w:val="24"/>
                <w:szCs w:val="24"/>
              </w:rPr>
              <w:fldChar w:fldCharType="begin"/>
            </w:r>
            <w:r>
              <w:rPr>
                <w:b/>
              </w:rPr>
              <w:instrText xml:space="preserve">PAGE</w:instrText>
            </w:r>
            <w:r>
              <w:rPr>
                <w:b/>
                <w:sz w:val="24"/>
                <w:szCs w:val="24"/>
              </w:rPr>
              <w:fldChar w:fldCharType="separate"/>
            </w:r>
            <w:r>
              <w:rPr>
                <w:b/>
              </w:rPr>
              <w:t>16</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16</w:t>
            </w:r>
            <w:r>
              <w:rPr>
                <w:b/>
                <w:sz w:val="24"/>
                <w:szCs w:val="24"/>
              </w:rPr>
              <w:fldChar w:fldCharType="end"/>
            </w:r>
          </w:p>
        </w:sdtContent>
      </w:sdt>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9"/>
      <w:pBdr>
        <w:bottom w:val="none" w:color="auto" w:sz="0" w:space="1"/>
      </w:pBdr>
      <w:spacing w:line="320" w:lineRule="exact"/>
      <w:jc w:val="left"/>
    </w:pPr>
    <w:r>
      <w:pict>
        <v:shape id="_x0000_s4097" o:spid="_x0000_s4097" o:spt="202" type="#_x0000_t202" style="position:absolute;left:0pt;margin-left:554.75pt;margin-top:2.2pt;height:20.2pt;width:172pt;z-index:251661312;mso-width-relative:page;mso-height-relative:page;"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9"/>
        <w:rFonts w:hint="default"/>
        <w:w w:val="90"/>
      </w:rPr>
      <w:t>Beijing International Standard united Certification Co.,Ltd.</w:t>
    </w:r>
  </w:p>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FE8ABA"/>
    <w:multiLevelType w:val="singleLevel"/>
    <w:tmpl w:val="64FE8AB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0143A"/>
    <w:rsid w:val="00010EB1"/>
    <w:rsid w:val="000237F6"/>
    <w:rsid w:val="00032D74"/>
    <w:rsid w:val="0003373A"/>
    <w:rsid w:val="000400E2"/>
    <w:rsid w:val="00045345"/>
    <w:rsid w:val="00062BD2"/>
    <w:rsid w:val="00062E46"/>
    <w:rsid w:val="000662F8"/>
    <w:rsid w:val="0008301E"/>
    <w:rsid w:val="000940BC"/>
    <w:rsid w:val="000A3B9C"/>
    <w:rsid w:val="000E642A"/>
    <w:rsid w:val="00106047"/>
    <w:rsid w:val="00107DD6"/>
    <w:rsid w:val="00110C8D"/>
    <w:rsid w:val="00115D94"/>
    <w:rsid w:val="00120A97"/>
    <w:rsid w:val="001221F8"/>
    <w:rsid w:val="0012401D"/>
    <w:rsid w:val="001353D2"/>
    <w:rsid w:val="00137B93"/>
    <w:rsid w:val="0014585A"/>
    <w:rsid w:val="00160A72"/>
    <w:rsid w:val="001A2D7F"/>
    <w:rsid w:val="001B6EDC"/>
    <w:rsid w:val="001C54FD"/>
    <w:rsid w:val="001C6CFE"/>
    <w:rsid w:val="001E6484"/>
    <w:rsid w:val="001E762D"/>
    <w:rsid w:val="002031BD"/>
    <w:rsid w:val="00203218"/>
    <w:rsid w:val="00217C46"/>
    <w:rsid w:val="002262F5"/>
    <w:rsid w:val="00253709"/>
    <w:rsid w:val="00256610"/>
    <w:rsid w:val="00271C42"/>
    <w:rsid w:val="0027366E"/>
    <w:rsid w:val="002939AD"/>
    <w:rsid w:val="002976D6"/>
    <w:rsid w:val="002A3B6E"/>
    <w:rsid w:val="002A5DDD"/>
    <w:rsid w:val="002B08E2"/>
    <w:rsid w:val="002B123F"/>
    <w:rsid w:val="002B55F3"/>
    <w:rsid w:val="002C2515"/>
    <w:rsid w:val="002D0BA2"/>
    <w:rsid w:val="002E1DED"/>
    <w:rsid w:val="002E76F4"/>
    <w:rsid w:val="002F5C86"/>
    <w:rsid w:val="002F7C39"/>
    <w:rsid w:val="00300515"/>
    <w:rsid w:val="0030207C"/>
    <w:rsid w:val="003120CB"/>
    <w:rsid w:val="00316CF4"/>
    <w:rsid w:val="0033085D"/>
    <w:rsid w:val="00337922"/>
    <w:rsid w:val="00340867"/>
    <w:rsid w:val="00344926"/>
    <w:rsid w:val="00354A83"/>
    <w:rsid w:val="00374D05"/>
    <w:rsid w:val="00380837"/>
    <w:rsid w:val="00381625"/>
    <w:rsid w:val="00382630"/>
    <w:rsid w:val="00384157"/>
    <w:rsid w:val="0038591A"/>
    <w:rsid w:val="003A198A"/>
    <w:rsid w:val="003C2191"/>
    <w:rsid w:val="003C58ED"/>
    <w:rsid w:val="003C67CC"/>
    <w:rsid w:val="003D6C2E"/>
    <w:rsid w:val="003E1A8D"/>
    <w:rsid w:val="003E54B5"/>
    <w:rsid w:val="003F09AE"/>
    <w:rsid w:val="003F0AEC"/>
    <w:rsid w:val="003F22B2"/>
    <w:rsid w:val="003F6889"/>
    <w:rsid w:val="00403DFD"/>
    <w:rsid w:val="00404B05"/>
    <w:rsid w:val="00410914"/>
    <w:rsid w:val="00414731"/>
    <w:rsid w:val="00415AF6"/>
    <w:rsid w:val="00445090"/>
    <w:rsid w:val="0046424C"/>
    <w:rsid w:val="00467FCE"/>
    <w:rsid w:val="00471A6B"/>
    <w:rsid w:val="00476DDB"/>
    <w:rsid w:val="004972E2"/>
    <w:rsid w:val="004A799A"/>
    <w:rsid w:val="004B2C89"/>
    <w:rsid w:val="004C307A"/>
    <w:rsid w:val="004F359C"/>
    <w:rsid w:val="00533B7D"/>
    <w:rsid w:val="00536930"/>
    <w:rsid w:val="00562C09"/>
    <w:rsid w:val="00564E53"/>
    <w:rsid w:val="005653AF"/>
    <w:rsid w:val="0057075D"/>
    <w:rsid w:val="00587A05"/>
    <w:rsid w:val="0059480B"/>
    <w:rsid w:val="005C6AE5"/>
    <w:rsid w:val="005C7ABB"/>
    <w:rsid w:val="005D40B8"/>
    <w:rsid w:val="005D5659"/>
    <w:rsid w:val="005F085A"/>
    <w:rsid w:val="005F5281"/>
    <w:rsid w:val="00600C20"/>
    <w:rsid w:val="00607DA6"/>
    <w:rsid w:val="00611AB6"/>
    <w:rsid w:val="006377EE"/>
    <w:rsid w:val="00644FE2"/>
    <w:rsid w:val="0065073F"/>
    <w:rsid w:val="00655287"/>
    <w:rsid w:val="0067640C"/>
    <w:rsid w:val="00684087"/>
    <w:rsid w:val="00684BAD"/>
    <w:rsid w:val="006A34E8"/>
    <w:rsid w:val="006B1140"/>
    <w:rsid w:val="006B1861"/>
    <w:rsid w:val="006B64BD"/>
    <w:rsid w:val="006B7D6F"/>
    <w:rsid w:val="006D52D9"/>
    <w:rsid w:val="006E2B4D"/>
    <w:rsid w:val="006E3F69"/>
    <w:rsid w:val="006E678B"/>
    <w:rsid w:val="006F5F01"/>
    <w:rsid w:val="007054F5"/>
    <w:rsid w:val="00710D78"/>
    <w:rsid w:val="00711193"/>
    <w:rsid w:val="00726297"/>
    <w:rsid w:val="00730C69"/>
    <w:rsid w:val="00730E32"/>
    <w:rsid w:val="00746F06"/>
    <w:rsid w:val="0076534F"/>
    <w:rsid w:val="007757F3"/>
    <w:rsid w:val="007766F5"/>
    <w:rsid w:val="007839D5"/>
    <w:rsid w:val="00795AE7"/>
    <w:rsid w:val="007A68F2"/>
    <w:rsid w:val="007B0799"/>
    <w:rsid w:val="007B55DD"/>
    <w:rsid w:val="007C593E"/>
    <w:rsid w:val="007D200E"/>
    <w:rsid w:val="007D3A26"/>
    <w:rsid w:val="007D7D7A"/>
    <w:rsid w:val="007E6AEB"/>
    <w:rsid w:val="007E7835"/>
    <w:rsid w:val="008002DD"/>
    <w:rsid w:val="008031F0"/>
    <w:rsid w:val="0082648D"/>
    <w:rsid w:val="0082725E"/>
    <w:rsid w:val="00854464"/>
    <w:rsid w:val="00863870"/>
    <w:rsid w:val="00887DB8"/>
    <w:rsid w:val="008945C6"/>
    <w:rsid w:val="008973EE"/>
    <w:rsid w:val="008C18C0"/>
    <w:rsid w:val="008C59EF"/>
    <w:rsid w:val="00904BAD"/>
    <w:rsid w:val="00904C9E"/>
    <w:rsid w:val="00941584"/>
    <w:rsid w:val="009435A1"/>
    <w:rsid w:val="00960000"/>
    <w:rsid w:val="00966881"/>
    <w:rsid w:val="00971600"/>
    <w:rsid w:val="00973D41"/>
    <w:rsid w:val="00981DEF"/>
    <w:rsid w:val="00986EC9"/>
    <w:rsid w:val="00987D3A"/>
    <w:rsid w:val="009905EF"/>
    <w:rsid w:val="00993D29"/>
    <w:rsid w:val="009973B4"/>
    <w:rsid w:val="009C28C1"/>
    <w:rsid w:val="009D12E8"/>
    <w:rsid w:val="009E411C"/>
    <w:rsid w:val="009F3CFB"/>
    <w:rsid w:val="009F7EED"/>
    <w:rsid w:val="00A31BA0"/>
    <w:rsid w:val="00A70EB2"/>
    <w:rsid w:val="00A76454"/>
    <w:rsid w:val="00A80636"/>
    <w:rsid w:val="00A833AA"/>
    <w:rsid w:val="00A90DFE"/>
    <w:rsid w:val="00A940E0"/>
    <w:rsid w:val="00A9640F"/>
    <w:rsid w:val="00AA0804"/>
    <w:rsid w:val="00AA5587"/>
    <w:rsid w:val="00AC25EB"/>
    <w:rsid w:val="00AD4CCF"/>
    <w:rsid w:val="00AF0AAB"/>
    <w:rsid w:val="00AF3947"/>
    <w:rsid w:val="00AF7E0D"/>
    <w:rsid w:val="00B01552"/>
    <w:rsid w:val="00B124D6"/>
    <w:rsid w:val="00B22AF4"/>
    <w:rsid w:val="00B235E7"/>
    <w:rsid w:val="00B30C42"/>
    <w:rsid w:val="00B31071"/>
    <w:rsid w:val="00B45E8D"/>
    <w:rsid w:val="00B46C5E"/>
    <w:rsid w:val="00B52CBE"/>
    <w:rsid w:val="00B72D0A"/>
    <w:rsid w:val="00B93660"/>
    <w:rsid w:val="00BB07B8"/>
    <w:rsid w:val="00BC6F46"/>
    <w:rsid w:val="00BD2B6C"/>
    <w:rsid w:val="00BD4FC4"/>
    <w:rsid w:val="00BD5052"/>
    <w:rsid w:val="00BE5F31"/>
    <w:rsid w:val="00BF04EC"/>
    <w:rsid w:val="00BF06DA"/>
    <w:rsid w:val="00BF4BD3"/>
    <w:rsid w:val="00BF597E"/>
    <w:rsid w:val="00C1217D"/>
    <w:rsid w:val="00C141E2"/>
    <w:rsid w:val="00C1723B"/>
    <w:rsid w:val="00C31F18"/>
    <w:rsid w:val="00C37C40"/>
    <w:rsid w:val="00C426E5"/>
    <w:rsid w:val="00C42AEF"/>
    <w:rsid w:val="00C46FCD"/>
    <w:rsid w:val="00C479FA"/>
    <w:rsid w:val="00C51A36"/>
    <w:rsid w:val="00C51C06"/>
    <w:rsid w:val="00C55228"/>
    <w:rsid w:val="00C55F13"/>
    <w:rsid w:val="00C56DB8"/>
    <w:rsid w:val="00C6350F"/>
    <w:rsid w:val="00C96CFF"/>
    <w:rsid w:val="00CA6626"/>
    <w:rsid w:val="00CB22D0"/>
    <w:rsid w:val="00CB77A7"/>
    <w:rsid w:val="00CC3523"/>
    <w:rsid w:val="00CC5DF8"/>
    <w:rsid w:val="00CD47DF"/>
    <w:rsid w:val="00CD4867"/>
    <w:rsid w:val="00CD7AE0"/>
    <w:rsid w:val="00CE315A"/>
    <w:rsid w:val="00CE3B8B"/>
    <w:rsid w:val="00CF7B5E"/>
    <w:rsid w:val="00D03FF4"/>
    <w:rsid w:val="00D06F59"/>
    <w:rsid w:val="00D13CA2"/>
    <w:rsid w:val="00D258D5"/>
    <w:rsid w:val="00D3076B"/>
    <w:rsid w:val="00D475EC"/>
    <w:rsid w:val="00D55AC6"/>
    <w:rsid w:val="00D67493"/>
    <w:rsid w:val="00D74B4D"/>
    <w:rsid w:val="00D8388C"/>
    <w:rsid w:val="00D91BED"/>
    <w:rsid w:val="00D925DB"/>
    <w:rsid w:val="00DA20DE"/>
    <w:rsid w:val="00DC4C09"/>
    <w:rsid w:val="00DD33CE"/>
    <w:rsid w:val="00DF4875"/>
    <w:rsid w:val="00DF5166"/>
    <w:rsid w:val="00DF76EF"/>
    <w:rsid w:val="00E0121D"/>
    <w:rsid w:val="00E03B02"/>
    <w:rsid w:val="00E04CE2"/>
    <w:rsid w:val="00E1419A"/>
    <w:rsid w:val="00E2137D"/>
    <w:rsid w:val="00E217D4"/>
    <w:rsid w:val="00E221F4"/>
    <w:rsid w:val="00E306BD"/>
    <w:rsid w:val="00E362FD"/>
    <w:rsid w:val="00E53A28"/>
    <w:rsid w:val="00E53AA1"/>
    <w:rsid w:val="00E61C0C"/>
    <w:rsid w:val="00E6224C"/>
    <w:rsid w:val="00E6296D"/>
    <w:rsid w:val="00E7638C"/>
    <w:rsid w:val="00E807C2"/>
    <w:rsid w:val="00E94823"/>
    <w:rsid w:val="00EA4EE2"/>
    <w:rsid w:val="00EB0164"/>
    <w:rsid w:val="00EC1644"/>
    <w:rsid w:val="00EC17F2"/>
    <w:rsid w:val="00EC6D0A"/>
    <w:rsid w:val="00ED0F62"/>
    <w:rsid w:val="00ED2FFC"/>
    <w:rsid w:val="00ED4C48"/>
    <w:rsid w:val="00EE2EBF"/>
    <w:rsid w:val="00EE5DAD"/>
    <w:rsid w:val="00EE6C6D"/>
    <w:rsid w:val="00EF1E4B"/>
    <w:rsid w:val="00EF35F8"/>
    <w:rsid w:val="00EF4015"/>
    <w:rsid w:val="00F032F0"/>
    <w:rsid w:val="00F06D33"/>
    <w:rsid w:val="00F15A43"/>
    <w:rsid w:val="00F2025F"/>
    <w:rsid w:val="00F2319C"/>
    <w:rsid w:val="00F3409F"/>
    <w:rsid w:val="00F355D8"/>
    <w:rsid w:val="00F442FF"/>
    <w:rsid w:val="00F705C1"/>
    <w:rsid w:val="00F84221"/>
    <w:rsid w:val="00FA271A"/>
    <w:rsid w:val="00FD07E2"/>
    <w:rsid w:val="00FD7CD8"/>
    <w:rsid w:val="00FE0471"/>
    <w:rsid w:val="00FE135F"/>
    <w:rsid w:val="00FE1AE5"/>
    <w:rsid w:val="01165468"/>
    <w:rsid w:val="01D30DDD"/>
    <w:rsid w:val="01E058E7"/>
    <w:rsid w:val="0216476F"/>
    <w:rsid w:val="02A807E2"/>
    <w:rsid w:val="02E32721"/>
    <w:rsid w:val="02F110DA"/>
    <w:rsid w:val="03487AEF"/>
    <w:rsid w:val="03FD4FF6"/>
    <w:rsid w:val="041B79E6"/>
    <w:rsid w:val="048A5FE7"/>
    <w:rsid w:val="05181F87"/>
    <w:rsid w:val="06A4782D"/>
    <w:rsid w:val="06C727A2"/>
    <w:rsid w:val="06DA37D7"/>
    <w:rsid w:val="077060BE"/>
    <w:rsid w:val="07EB0834"/>
    <w:rsid w:val="080B0578"/>
    <w:rsid w:val="08572687"/>
    <w:rsid w:val="08980FB9"/>
    <w:rsid w:val="08DA582A"/>
    <w:rsid w:val="091D6071"/>
    <w:rsid w:val="0A8C70F6"/>
    <w:rsid w:val="0ADF2004"/>
    <w:rsid w:val="0AF04256"/>
    <w:rsid w:val="0AFA3C89"/>
    <w:rsid w:val="0B73073D"/>
    <w:rsid w:val="0B8B4C4A"/>
    <w:rsid w:val="0BA771EF"/>
    <w:rsid w:val="0BA774F2"/>
    <w:rsid w:val="0C426F71"/>
    <w:rsid w:val="0CD93B29"/>
    <w:rsid w:val="0D497365"/>
    <w:rsid w:val="0D5549D0"/>
    <w:rsid w:val="0D7D62F5"/>
    <w:rsid w:val="0D831A6F"/>
    <w:rsid w:val="0DB52164"/>
    <w:rsid w:val="0DE60895"/>
    <w:rsid w:val="0EB729C2"/>
    <w:rsid w:val="0F276DBD"/>
    <w:rsid w:val="0F584279"/>
    <w:rsid w:val="0FA12C22"/>
    <w:rsid w:val="0FD25672"/>
    <w:rsid w:val="0FE45C09"/>
    <w:rsid w:val="10144EE5"/>
    <w:rsid w:val="10276BE9"/>
    <w:rsid w:val="1029671C"/>
    <w:rsid w:val="105B2913"/>
    <w:rsid w:val="108219C2"/>
    <w:rsid w:val="10DB16FB"/>
    <w:rsid w:val="10E72AAB"/>
    <w:rsid w:val="116B69E1"/>
    <w:rsid w:val="11E65EDC"/>
    <w:rsid w:val="11E73F86"/>
    <w:rsid w:val="121467D1"/>
    <w:rsid w:val="12691638"/>
    <w:rsid w:val="128D1E4D"/>
    <w:rsid w:val="131740EC"/>
    <w:rsid w:val="133A3AAF"/>
    <w:rsid w:val="135D7057"/>
    <w:rsid w:val="13A6160D"/>
    <w:rsid w:val="141C3600"/>
    <w:rsid w:val="142F0875"/>
    <w:rsid w:val="144E79C5"/>
    <w:rsid w:val="14C95B21"/>
    <w:rsid w:val="14DE2FEE"/>
    <w:rsid w:val="14EE56DB"/>
    <w:rsid w:val="1506786D"/>
    <w:rsid w:val="15730D55"/>
    <w:rsid w:val="15873CAC"/>
    <w:rsid w:val="15D87AAF"/>
    <w:rsid w:val="16B37DD9"/>
    <w:rsid w:val="16BA6C31"/>
    <w:rsid w:val="172560A8"/>
    <w:rsid w:val="174B2076"/>
    <w:rsid w:val="17676508"/>
    <w:rsid w:val="17FD3326"/>
    <w:rsid w:val="18071168"/>
    <w:rsid w:val="185D6041"/>
    <w:rsid w:val="18AA7053"/>
    <w:rsid w:val="18B85BE6"/>
    <w:rsid w:val="1A4533F0"/>
    <w:rsid w:val="1AAB67EA"/>
    <w:rsid w:val="1ADF625D"/>
    <w:rsid w:val="1B2D7B01"/>
    <w:rsid w:val="1BB100F1"/>
    <w:rsid w:val="1C001AFE"/>
    <w:rsid w:val="1CB41964"/>
    <w:rsid w:val="1CBB202F"/>
    <w:rsid w:val="1CC22FD1"/>
    <w:rsid w:val="1CED3502"/>
    <w:rsid w:val="1DB021DE"/>
    <w:rsid w:val="1DB76F83"/>
    <w:rsid w:val="1DC01454"/>
    <w:rsid w:val="1DC35749"/>
    <w:rsid w:val="1E0C60AA"/>
    <w:rsid w:val="1E8B6F74"/>
    <w:rsid w:val="1F5721F1"/>
    <w:rsid w:val="1F7E74B4"/>
    <w:rsid w:val="1FAD750F"/>
    <w:rsid w:val="1FF507B4"/>
    <w:rsid w:val="1FF97C6D"/>
    <w:rsid w:val="20DF1143"/>
    <w:rsid w:val="210C34C6"/>
    <w:rsid w:val="211872D7"/>
    <w:rsid w:val="2175174D"/>
    <w:rsid w:val="21BF0EAB"/>
    <w:rsid w:val="22DA633E"/>
    <w:rsid w:val="24244568"/>
    <w:rsid w:val="24932DF7"/>
    <w:rsid w:val="249374D0"/>
    <w:rsid w:val="254A04DB"/>
    <w:rsid w:val="25624DAC"/>
    <w:rsid w:val="25DF4C37"/>
    <w:rsid w:val="265B6B30"/>
    <w:rsid w:val="266B0827"/>
    <w:rsid w:val="272877DC"/>
    <w:rsid w:val="284608C4"/>
    <w:rsid w:val="29E26CDA"/>
    <w:rsid w:val="2A1C1758"/>
    <w:rsid w:val="2A287BCE"/>
    <w:rsid w:val="2A9C7564"/>
    <w:rsid w:val="2ACE0872"/>
    <w:rsid w:val="2B0F670A"/>
    <w:rsid w:val="2BD34A0D"/>
    <w:rsid w:val="2C950CA7"/>
    <w:rsid w:val="2CA0369E"/>
    <w:rsid w:val="2D1E6386"/>
    <w:rsid w:val="2E044AB0"/>
    <w:rsid w:val="2E096DBC"/>
    <w:rsid w:val="2E9264B3"/>
    <w:rsid w:val="2F500E02"/>
    <w:rsid w:val="313954ED"/>
    <w:rsid w:val="31633F3B"/>
    <w:rsid w:val="31EF06C4"/>
    <w:rsid w:val="320248E3"/>
    <w:rsid w:val="32277422"/>
    <w:rsid w:val="323316E9"/>
    <w:rsid w:val="32505D26"/>
    <w:rsid w:val="32A91FD1"/>
    <w:rsid w:val="33011673"/>
    <w:rsid w:val="348F71F4"/>
    <w:rsid w:val="34916F9A"/>
    <w:rsid w:val="35372174"/>
    <w:rsid w:val="36294D55"/>
    <w:rsid w:val="370A30AA"/>
    <w:rsid w:val="37895692"/>
    <w:rsid w:val="380E35C2"/>
    <w:rsid w:val="38A20CD7"/>
    <w:rsid w:val="38B55B8F"/>
    <w:rsid w:val="38DA7D0A"/>
    <w:rsid w:val="3977064C"/>
    <w:rsid w:val="39804C81"/>
    <w:rsid w:val="3A1B5F27"/>
    <w:rsid w:val="3B346867"/>
    <w:rsid w:val="3BCA79B1"/>
    <w:rsid w:val="3BD136D5"/>
    <w:rsid w:val="3BDD69B3"/>
    <w:rsid w:val="3D5F10F9"/>
    <w:rsid w:val="3DD6700D"/>
    <w:rsid w:val="3E283F0A"/>
    <w:rsid w:val="3E9F10AC"/>
    <w:rsid w:val="3F0A1D3C"/>
    <w:rsid w:val="3F0B3FC7"/>
    <w:rsid w:val="3F3A74FD"/>
    <w:rsid w:val="3F67141F"/>
    <w:rsid w:val="3F941A8C"/>
    <w:rsid w:val="409A0C02"/>
    <w:rsid w:val="40E32E3C"/>
    <w:rsid w:val="413643AA"/>
    <w:rsid w:val="415526AA"/>
    <w:rsid w:val="41907691"/>
    <w:rsid w:val="425725E8"/>
    <w:rsid w:val="42D56F8E"/>
    <w:rsid w:val="437856DB"/>
    <w:rsid w:val="43CD744C"/>
    <w:rsid w:val="441578D7"/>
    <w:rsid w:val="44187BAB"/>
    <w:rsid w:val="44264B74"/>
    <w:rsid w:val="4478512B"/>
    <w:rsid w:val="449F4BA4"/>
    <w:rsid w:val="452F66AF"/>
    <w:rsid w:val="462C33D1"/>
    <w:rsid w:val="4646500D"/>
    <w:rsid w:val="466D0E0E"/>
    <w:rsid w:val="46EC43F2"/>
    <w:rsid w:val="48416B22"/>
    <w:rsid w:val="484871F8"/>
    <w:rsid w:val="490B31F4"/>
    <w:rsid w:val="49C20310"/>
    <w:rsid w:val="4A3079DE"/>
    <w:rsid w:val="4A7F020F"/>
    <w:rsid w:val="4B8A545E"/>
    <w:rsid w:val="4B9E7B5F"/>
    <w:rsid w:val="4BF35FEB"/>
    <w:rsid w:val="4C531B79"/>
    <w:rsid w:val="4CC77C15"/>
    <w:rsid w:val="4E332E7A"/>
    <w:rsid w:val="500055C5"/>
    <w:rsid w:val="51BD3538"/>
    <w:rsid w:val="52A23505"/>
    <w:rsid w:val="53693CAB"/>
    <w:rsid w:val="53A67E32"/>
    <w:rsid w:val="53FD1808"/>
    <w:rsid w:val="5437756A"/>
    <w:rsid w:val="56357322"/>
    <w:rsid w:val="56C92E6A"/>
    <w:rsid w:val="56D973CF"/>
    <w:rsid w:val="56EF0A09"/>
    <w:rsid w:val="56FD4FD9"/>
    <w:rsid w:val="573A77BF"/>
    <w:rsid w:val="57BC0108"/>
    <w:rsid w:val="57EA3DCD"/>
    <w:rsid w:val="59811AF3"/>
    <w:rsid w:val="5A47580D"/>
    <w:rsid w:val="5A9D21AB"/>
    <w:rsid w:val="5B664AB8"/>
    <w:rsid w:val="5B8E7AE8"/>
    <w:rsid w:val="5B990EF0"/>
    <w:rsid w:val="5C014A8D"/>
    <w:rsid w:val="5C0700DA"/>
    <w:rsid w:val="5C320D87"/>
    <w:rsid w:val="5D221D10"/>
    <w:rsid w:val="5E267D57"/>
    <w:rsid w:val="5E8D3DB6"/>
    <w:rsid w:val="5EA12B9A"/>
    <w:rsid w:val="5ECA37D9"/>
    <w:rsid w:val="5EEC3F13"/>
    <w:rsid w:val="5F1B6FA3"/>
    <w:rsid w:val="61550AAA"/>
    <w:rsid w:val="619536FC"/>
    <w:rsid w:val="61967A51"/>
    <w:rsid w:val="61B911B5"/>
    <w:rsid w:val="61BF0D5B"/>
    <w:rsid w:val="62522124"/>
    <w:rsid w:val="62831B48"/>
    <w:rsid w:val="62EA14BE"/>
    <w:rsid w:val="632025F3"/>
    <w:rsid w:val="636016A8"/>
    <w:rsid w:val="63804600"/>
    <w:rsid w:val="646C4CC4"/>
    <w:rsid w:val="65171900"/>
    <w:rsid w:val="652956BE"/>
    <w:rsid w:val="658E3DE5"/>
    <w:rsid w:val="659E04BA"/>
    <w:rsid w:val="661307BA"/>
    <w:rsid w:val="66280DC6"/>
    <w:rsid w:val="663C665B"/>
    <w:rsid w:val="66B35877"/>
    <w:rsid w:val="66DE0102"/>
    <w:rsid w:val="675F761E"/>
    <w:rsid w:val="67886D06"/>
    <w:rsid w:val="684D3C00"/>
    <w:rsid w:val="689D0286"/>
    <w:rsid w:val="69061AA6"/>
    <w:rsid w:val="695A3639"/>
    <w:rsid w:val="69A60E93"/>
    <w:rsid w:val="6A040540"/>
    <w:rsid w:val="6A314060"/>
    <w:rsid w:val="6A321EB4"/>
    <w:rsid w:val="6A974851"/>
    <w:rsid w:val="6AB62150"/>
    <w:rsid w:val="6AFD0161"/>
    <w:rsid w:val="6B633BBF"/>
    <w:rsid w:val="6B797F2B"/>
    <w:rsid w:val="6B9003ED"/>
    <w:rsid w:val="6BE10739"/>
    <w:rsid w:val="6C2500E0"/>
    <w:rsid w:val="6C84465B"/>
    <w:rsid w:val="6CCB6BCF"/>
    <w:rsid w:val="6D7738BA"/>
    <w:rsid w:val="6E531CAD"/>
    <w:rsid w:val="6E707B25"/>
    <w:rsid w:val="6F1E6F54"/>
    <w:rsid w:val="6F8D686E"/>
    <w:rsid w:val="703A6DCE"/>
    <w:rsid w:val="706B7428"/>
    <w:rsid w:val="72047636"/>
    <w:rsid w:val="72186371"/>
    <w:rsid w:val="72655D79"/>
    <w:rsid w:val="727B6EC0"/>
    <w:rsid w:val="728157AA"/>
    <w:rsid w:val="729E3F7B"/>
    <w:rsid w:val="72B65FB5"/>
    <w:rsid w:val="72CE0E1D"/>
    <w:rsid w:val="73364391"/>
    <w:rsid w:val="73B81ADD"/>
    <w:rsid w:val="73BF2E6B"/>
    <w:rsid w:val="73EE6A72"/>
    <w:rsid w:val="73F979D9"/>
    <w:rsid w:val="74120612"/>
    <w:rsid w:val="741955F8"/>
    <w:rsid w:val="741965F5"/>
    <w:rsid w:val="744B2E16"/>
    <w:rsid w:val="752A3C72"/>
    <w:rsid w:val="759856E2"/>
    <w:rsid w:val="75E64097"/>
    <w:rsid w:val="7744314B"/>
    <w:rsid w:val="774B24FE"/>
    <w:rsid w:val="7768158A"/>
    <w:rsid w:val="7774293C"/>
    <w:rsid w:val="7891425E"/>
    <w:rsid w:val="78951FD5"/>
    <w:rsid w:val="79CE50A9"/>
    <w:rsid w:val="79E044BC"/>
    <w:rsid w:val="7A044D72"/>
    <w:rsid w:val="7A207A70"/>
    <w:rsid w:val="7A704881"/>
    <w:rsid w:val="7BC10C51"/>
    <w:rsid w:val="7CAC48F9"/>
    <w:rsid w:val="7D234897"/>
    <w:rsid w:val="7D3401A8"/>
    <w:rsid w:val="7D752D73"/>
    <w:rsid w:val="7DB6474E"/>
    <w:rsid w:val="7E304D79"/>
    <w:rsid w:val="7EB24998"/>
    <w:rsid w:val="7EC56B31"/>
    <w:rsid w:val="7F2826C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qFormat="1" w:unhideWhenUsed="0" w:uiPriority="0"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0"/>
    <w:rPr>
      <w:color w:val="0000FF"/>
    </w:rPr>
  </w:style>
  <w:style w:type="paragraph" w:styleId="4">
    <w:name w:val="Body Text Indent"/>
    <w:basedOn w:val="1"/>
    <w:qFormat/>
    <w:uiPriority w:val="0"/>
    <w:pPr>
      <w:spacing w:line="360" w:lineRule="auto"/>
      <w:ind w:firstLine="420"/>
    </w:pPr>
    <w:rPr>
      <w:rFonts w:hint="eastAsia" w:ascii="宋体"/>
    </w:rPr>
  </w:style>
  <w:style w:type="paragraph" w:styleId="5">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6">
    <w:name w:val="Plain Text"/>
    <w:basedOn w:val="1"/>
    <w:qFormat/>
    <w:uiPriority w:val="99"/>
    <w:rPr>
      <w:rFonts w:ascii="宋体" w:hAnsi="Courier New"/>
    </w:rPr>
  </w:style>
  <w:style w:type="paragraph" w:styleId="7">
    <w:name w:val="Balloon Text"/>
    <w:basedOn w:val="1"/>
    <w:link w:val="18"/>
    <w:semiHidden/>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rPr>
      <w:color w:val="000000"/>
      <w:kern w:val="0"/>
      <w:sz w:val="24"/>
      <w:szCs w:val="24"/>
    </w:rPr>
  </w:style>
  <w:style w:type="character" w:styleId="13">
    <w:name w:val="Strong"/>
    <w:qFormat/>
    <w:uiPriority w:val="99"/>
    <w:rPr>
      <w:rFonts w:cs="Times New Roman"/>
      <w:b/>
      <w:bCs/>
    </w:rPr>
  </w:style>
  <w:style w:type="character" w:styleId="14">
    <w:name w:val="page number"/>
    <w:basedOn w:val="12"/>
    <w:qFormat/>
    <w:uiPriority w:val="0"/>
  </w:style>
  <w:style w:type="character" w:styleId="15">
    <w:name w:val="Hyperlink"/>
    <w:qFormat/>
    <w:uiPriority w:val="0"/>
    <w:rPr>
      <w:color w:val="0000FF"/>
      <w:u w:val="single"/>
    </w:rPr>
  </w:style>
  <w:style w:type="character" w:customStyle="1" w:styleId="16">
    <w:name w:val="页眉 Char"/>
    <w:basedOn w:val="12"/>
    <w:link w:val="9"/>
    <w:qFormat/>
    <w:uiPriority w:val="0"/>
    <w:rPr>
      <w:rFonts w:ascii="Times New Roman" w:hAnsi="Times New Roman" w:eastAsia="宋体" w:cs="Times New Roman"/>
      <w:sz w:val="18"/>
      <w:szCs w:val="18"/>
    </w:rPr>
  </w:style>
  <w:style w:type="character" w:customStyle="1" w:styleId="17">
    <w:name w:val="页脚 Char"/>
    <w:basedOn w:val="12"/>
    <w:link w:val="8"/>
    <w:qFormat/>
    <w:uiPriority w:val="99"/>
    <w:rPr>
      <w:rFonts w:ascii="Times New Roman" w:hAnsi="Times New Roman" w:eastAsia="宋体" w:cs="Times New Roman"/>
      <w:sz w:val="18"/>
      <w:szCs w:val="18"/>
    </w:rPr>
  </w:style>
  <w:style w:type="character" w:customStyle="1" w:styleId="18">
    <w:name w:val="批注框文本 Char"/>
    <w:basedOn w:val="12"/>
    <w:link w:val="7"/>
    <w:semiHidden/>
    <w:qFormat/>
    <w:uiPriority w:val="99"/>
    <w:rPr>
      <w:rFonts w:ascii="Times New Roman" w:hAnsi="Times New Roman" w:eastAsia="宋体" w:cs="Times New Roman"/>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Table Paragraph"/>
    <w:basedOn w:val="1"/>
    <w:unhideWhenUsed/>
    <w:qFormat/>
    <w:uiPriority w:val="1"/>
    <w:rPr>
      <w:color w:val="000000"/>
      <w:kern w:val="0"/>
      <w:sz w:val="24"/>
      <w:szCs w:val="24"/>
    </w:rPr>
  </w:style>
  <w:style w:type="paragraph" w:customStyle="1" w:styleId="21">
    <w:name w:val="列出段落1"/>
    <w:basedOn w:val="1"/>
    <w:qFormat/>
    <w:uiPriority w:val="34"/>
    <w:pPr>
      <w:ind w:firstLine="420" w:firstLineChars="200"/>
    </w:pPr>
    <w:rPr>
      <w:rFonts w:ascii="Calibri" w:hAnsi="Calibri"/>
      <w:szCs w:val="22"/>
    </w:rPr>
  </w:style>
  <w:style w:type="character" w:customStyle="1" w:styleId="22">
    <w:name w:val="占位符文本1"/>
    <w:semiHidden/>
    <w:qFormat/>
    <w:uiPriority w:val="99"/>
    <w:rPr>
      <w:color w:val="808080"/>
    </w:rPr>
  </w:style>
  <w:style w:type="paragraph" w:customStyle="1" w:styleId="23">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styleId="24">
    <w:name w:val="List Paragraph"/>
    <w:basedOn w:val="1"/>
    <w:unhideWhenUsed/>
    <w:qFormat/>
    <w:uiPriority w:val="99"/>
    <w:pPr>
      <w:ind w:firstLine="420" w:firstLineChars="200"/>
    </w:pPr>
  </w:style>
  <w:style w:type="character" w:customStyle="1" w:styleId="25">
    <w:name w:val="占位符文本2"/>
    <w:semiHidden/>
    <w:qFormat/>
    <w:uiPriority w:val="99"/>
    <w:rPr>
      <w:color w:val="808080"/>
    </w:rPr>
  </w:style>
  <w:style w:type="paragraph" w:styleId="26">
    <w:name w:val="No Spacing"/>
    <w:qFormat/>
    <w:uiPriority w:val="0"/>
    <w:pPr>
      <w:widowControl w:val="0"/>
      <w:adjustRightInd w:val="0"/>
      <w:jc w:val="both"/>
      <w:textAlignment w:val="baseline"/>
    </w:pPr>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1884</Words>
  <Characters>10745</Characters>
  <Lines>89</Lines>
  <Paragraphs>25</Paragraphs>
  <TotalTime>7</TotalTime>
  <ScaleCrop>false</ScaleCrop>
  <LinksUpToDate>false</LinksUpToDate>
  <CharactersWithSpaces>12604</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ASUS</cp:lastModifiedBy>
  <dcterms:modified xsi:type="dcterms:W3CDTF">2020-03-20T07:53:17Z</dcterms:modified>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