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叙永县泰宇建材有限公司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2020年03月20日上午</w:t>
            </w:r>
          </w:p>
          <w:p>
            <w:pPr>
              <w:numPr>
                <w:ilvl w:val="0"/>
                <w:numId w:val="0"/>
              </w:numPr>
              <w:snapToGrid w:val="0"/>
              <w:spacing w:line="276" w:lineRule="auto"/>
              <w:jc w:val="left"/>
              <w:rPr>
                <w:b/>
                <w:bCs/>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2020年03月20日上午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1"/>
                <w:szCs w:val="21"/>
                <w:lang w:val="en-US" w:eastAsia="zh-CN"/>
              </w:rPr>
              <w:t>2020.3.20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27480"/>
    <w:multiLevelType w:val="singleLevel"/>
    <w:tmpl w:val="3CC274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555B37"/>
    <w:rsid w:val="37493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2020-04-01T13:18:34Z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