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rFonts w:hint="default" w:eastAsia="宋体"/>
          <w:color w:val="000000"/>
          <w:lang w:val="en-US" w:eastAsia="zh-CN"/>
        </w:rPr>
      </w:pPr>
      <w:r>
        <w:rPr>
          <w:rFonts w:hint="eastAsia" w:ascii="楷体" w:hAnsi="楷体" w:eastAsia="楷体"/>
          <w:color w:val="000000"/>
          <w:sz w:val="28"/>
          <w:szCs w:val="28"/>
        </w:rPr>
        <w:t>合同编号：</w:t>
      </w:r>
      <w:bookmarkStart w:id="0" w:name="合同编号"/>
      <w:r>
        <w:rPr>
          <w:color w:val="000000"/>
        </w:rPr>
        <w:t>0065-2020-Q</w:t>
      </w:r>
      <w:bookmarkEnd w:id="0"/>
      <w:r>
        <w:rPr>
          <w:rFonts w:hint="eastAsia"/>
          <w:color w:val="000000"/>
          <w:lang w:val="en-US" w:eastAsia="zh-CN"/>
        </w:rPr>
        <w:t>EO</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叙永县泰宇建材有限公司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Q:29.05.03</w:t>
            </w:r>
          </w:p>
          <w:p>
            <w:pPr>
              <w:spacing w:line="240" w:lineRule="exact"/>
              <w:jc w:val="center"/>
              <w:rPr>
                <w:b/>
                <w:color w:val="000000"/>
                <w:sz w:val="20"/>
                <w:szCs w:val="20"/>
              </w:rPr>
            </w:pPr>
            <w:r>
              <w:rPr>
                <w:b/>
                <w:color w:val="000000"/>
                <w:sz w:val="20"/>
                <w:szCs w:val="20"/>
              </w:rPr>
              <w:t>E:29.05.03</w:t>
            </w:r>
          </w:p>
          <w:p>
            <w:pPr>
              <w:spacing w:line="240" w:lineRule="exact"/>
              <w:jc w:val="center"/>
              <w:rPr>
                <w:b/>
                <w:color w:val="000000"/>
                <w:sz w:val="20"/>
                <w:szCs w:val="20"/>
              </w:rPr>
            </w:pPr>
            <w:r>
              <w:rPr>
                <w:b/>
                <w:color w:val="000000"/>
                <w:sz w:val="20"/>
                <w:szCs w:val="20"/>
              </w:rPr>
              <w:t>O:29.05.03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rPr>
        <w:t>ISO45001:2018</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叙永县泰宇建材有限公司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叙永县麻城镇麻城街419号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646400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四川省泸州市叙永县叙永镇安居村十一社</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646400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龙松</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0830-6249777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周德蓉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陈艳</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2365677705@qq.com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Q：建材（不含危化品）的销售</w:t>
            </w:r>
          </w:p>
          <w:p>
            <w:pPr>
              <w:spacing w:line="400" w:lineRule="exact"/>
              <w:rPr>
                <w:rFonts w:ascii="宋体" w:hAnsi="宋体"/>
                <w:b/>
                <w:color w:val="000000"/>
                <w:sz w:val="20"/>
                <w:szCs w:val="20"/>
              </w:rPr>
            </w:pPr>
            <w:r>
              <w:rPr>
                <w:rFonts w:ascii="宋体" w:hAnsi="宋体"/>
                <w:b/>
                <w:color w:val="000000"/>
                <w:sz w:val="20"/>
                <w:szCs w:val="20"/>
              </w:rPr>
              <w:t>E：建材（不含危化品）的销售及相关环境管理活动</w:t>
            </w:r>
          </w:p>
          <w:p>
            <w:pPr>
              <w:spacing w:line="400" w:lineRule="exact"/>
              <w:rPr>
                <w:rFonts w:ascii="宋体" w:hAnsi="宋体"/>
                <w:b/>
                <w:color w:val="000000"/>
                <w:sz w:val="20"/>
                <w:szCs w:val="20"/>
              </w:rPr>
            </w:pPr>
            <w:r>
              <w:rPr>
                <w:rFonts w:ascii="宋体" w:hAnsi="宋体"/>
                <w:b/>
                <w:color w:val="000000"/>
                <w:sz w:val="20"/>
                <w:szCs w:val="20"/>
              </w:rPr>
              <w:t>O：建材（不含危化品）的销售及相关职业健康安全管理活动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Q：29.05.03</w:t>
            </w:r>
          </w:p>
          <w:p>
            <w:pPr>
              <w:spacing w:line="280" w:lineRule="exact"/>
              <w:rPr>
                <w:rFonts w:ascii="宋体"/>
                <w:b/>
                <w:color w:val="000000"/>
                <w:sz w:val="20"/>
                <w:szCs w:val="20"/>
              </w:rPr>
            </w:pPr>
            <w:r>
              <w:rPr>
                <w:rFonts w:ascii="宋体"/>
                <w:b/>
                <w:color w:val="000000"/>
                <w:sz w:val="20"/>
                <w:szCs w:val="20"/>
              </w:rPr>
              <w:t>E：29.05.03</w:t>
            </w:r>
          </w:p>
          <w:p>
            <w:pPr>
              <w:spacing w:line="280" w:lineRule="exact"/>
              <w:rPr>
                <w:rFonts w:ascii="宋体"/>
                <w:b/>
                <w:color w:val="000000"/>
                <w:sz w:val="20"/>
                <w:szCs w:val="20"/>
              </w:rPr>
            </w:pPr>
            <w:r>
              <w:rPr>
                <w:rFonts w:ascii="宋体"/>
                <w:b/>
                <w:color w:val="000000"/>
                <w:sz w:val="20"/>
                <w:szCs w:val="20"/>
              </w:rPr>
              <w:t>O：29.05.03</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行政部、市场部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top"/>
          </w:tcPr>
          <w:p>
            <w:pPr>
              <w:rPr>
                <w:rFonts w:ascii="宋体"/>
                <w:color w:val="000000"/>
                <w:sz w:val="20"/>
                <w:szCs w:val="20"/>
              </w:rPr>
            </w:pP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 xml:space="preserve">）删减是否合理 </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建材（不含危化品）的销售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行政部、市场部、财务部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四川省泸州市叙永县叙永镇安居村十一社</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四川省泸州市叙永县叙永镇安居村十一社</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szCs w:val="21"/>
                <w:lang w:val="en-US" w:eastAsia="zh-CN"/>
              </w:rPr>
            </w:pPr>
            <w:r>
              <w:rPr>
                <w:rFonts w:hint="eastAsia"/>
                <w:szCs w:val="21"/>
                <w:lang w:val="en-US" w:eastAsia="zh-CN"/>
              </w:rPr>
              <w:t>销售流程图</w:t>
            </w:r>
          </w:p>
          <w:p>
            <w:pPr>
              <w:spacing w:line="400" w:lineRule="exact"/>
              <w:rPr>
                <w:rFonts w:ascii="宋体"/>
                <w:color w:val="000000"/>
                <w:sz w:val="20"/>
                <w:szCs w:val="20"/>
              </w:rPr>
            </w:pPr>
            <w:r>
              <w:rPr>
                <w:rFonts w:hint="eastAsia"/>
                <w:szCs w:val="21"/>
                <w:lang w:val="en-US" w:eastAsia="zh-CN"/>
              </w:rPr>
              <w:t>确定顾客群体------商务洽谈------签订合同-----采购产品---产品交付---售后服务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hAnsi="宋体"/>
                <w:color w:val="000000"/>
                <w:sz w:val="20"/>
                <w:szCs w:val="20"/>
                <w:lang w:eastAsia="zh-CN"/>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szCs w:val="21"/>
                <w:highlight w:val="none"/>
                <w:lang w:val="en-US" w:eastAsia="zh-CN"/>
              </w:rPr>
              <w:t>电脑、打印机</w:t>
            </w:r>
            <w:r>
              <w:rPr>
                <w:rFonts w:hint="eastAsia" w:ascii="宋体" w:hAnsi="宋体" w:cs="宋体"/>
                <w:szCs w:val="21"/>
                <w:highlight w:val="none"/>
              </w:rPr>
              <w:t>等</w:t>
            </w:r>
            <w:r>
              <w:rPr>
                <w:rFonts w:hint="eastAsia" w:ascii="宋体" w:hAnsi="宋体" w:cs="宋体"/>
                <w:szCs w:val="21"/>
                <w:highlight w:val="none"/>
                <w:lang w:val="en-US" w:eastAsia="zh-CN"/>
              </w:rPr>
              <w:t>办公室设备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特种设备：</w:t>
            </w:r>
            <w:r>
              <w:rPr>
                <w:rFonts w:hint="eastAsia" w:ascii="宋体" w:hAns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eastAsia="zh-CN"/>
              </w:rPr>
            </w:pPr>
            <w:r>
              <w:rPr>
                <w:rFonts w:hint="eastAsia" w:ascii="宋体"/>
                <w:color w:val="000000"/>
                <w:sz w:val="20"/>
                <w:szCs w:val="20"/>
              </w:rPr>
              <w:t>监视和测量设备（请简述主要监视和测量设备）：</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宋体"/>
                <w:szCs w:val="21"/>
              </w:rPr>
              <w:t>潜在火灾、固废排放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rPr>
              <w:t>■</w:t>
            </w:r>
            <w:r>
              <w:rPr>
                <w:rFonts w:hint="eastAsia" w:ascii="宋体"/>
                <w:color w:val="000000"/>
                <w:sz w:val="20"/>
                <w:szCs w:val="20"/>
              </w:rPr>
              <w:t>是□否，识别是否□充分</w:t>
            </w:r>
            <w:r>
              <w:rPr>
                <w:rFonts w:hint="eastAsia" w:ascii="宋体" w:hAnsi="宋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应急预案有：火灾应急预案，触电应急预案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火灾、触电、交通事故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针对不可接受风险建立了运行控制程序：（1）危险源和环境因素识别与评价管理程序；（2）环境和职业健康安全运行管理程序。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针对不可接受风险是否明确了监视和测量的要求：监视和测量管理程序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rPr>
              <w:t>■</w:t>
            </w:r>
            <w:r>
              <w:rPr>
                <w:rFonts w:hint="eastAsia" w:ascii="宋体"/>
                <w:color w:val="000000"/>
                <w:sz w:val="20"/>
                <w:szCs w:val="20"/>
              </w:rPr>
              <w:t>是□否，识别是否充分</w:t>
            </w:r>
            <w:r>
              <w:rPr>
                <w:rFonts w:hint="eastAsia" w:ascii="宋体" w:hAnsi="宋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rPr>
              <w:t>■</w:t>
            </w:r>
            <w:r>
              <w:rPr>
                <w:rFonts w:hint="eastAsia" w:ascii="宋体"/>
                <w:color w:val="000000"/>
                <w:sz w:val="20"/>
                <w:szCs w:val="20"/>
              </w:rPr>
              <w:t>是□否</w:t>
            </w:r>
          </w:p>
        </w:tc>
      </w:tr>
      <w:tr>
        <w:tblPrEx>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rPr>
              <w:t>■</w:t>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bookmarkStart w:id="25" w:name="_GoBack"/>
            <w:bookmarkEnd w:id="25"/>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highlight w:val="none"/>
              </w:rPr>
            </w:pPr>
            <w:r>
              <w:rPr>
                <w:rFonts w:hint="eastAsia" w:ascii="宋体" w:hAnsi="宋体"/>
                <w:b/>
                <w:color w:val="000000"/>
                <w:sz w:val="20"/>
                <w:szCs w:val="20"/>
              </w:rPr>
              <w:t>▲质</w:t>
            </w:r>
            <w:r>
              <w:rPr>
                <w:rFonts w:hint="eastAsia" w:ascii="宋体" w:hAnsi="宋体"/>
                <w:b/>
                <w:color w:val="000000"/>
                <w:sz w:val="20"/>
                <w:szCs w:val="20"/>
                <w:highlight w:val="none"/>
              </w:rPr>
              <w:t>量管理体系宜重点关注（设计、关键生产</w:t>
            </w:r>
            <w:r>
              <w:rPr>
                <w:rFonts w:ascii="宋体" w:hAnsi="宋体"/>
                <w:b/>
                <w:color w:val="000000"/>
                <w:sz w:val="20"/>
                <w:szCs w:val="20"/>
                <w:highlight w:val="none"/>
              </w:rPr>
              <w:t>/</w:t>
            </w:r>
            <w:r>
              <w:rPr>
                <w:rFonts w:hint="eastAsia" w:ascii="宋体" w:hAnsi="宋体"/>
                <w:b/>
                <w:color w:val="000000"/>
                <w:sz w:val="20"/>
                <w:szCs w:val="20"/>
                <w:highlight w:val="none"/>
              </w:rPr>
              <w:t>服务、检验、采购过程及生产</w:t>
            </w:r>
            <w:r>
              <w:rPr>
                <w:rFonts w:ascii="宋体" w:hAnsi="宋体"/>
                <w:b/>
                <w:color w:val="000000"/>
                <w:sz w:val="20"/>
                <w:szCs w:val="20"/>
                <w:highlight w:val="none"/>
              </w:rPr>
              <w:t>/</w:t>
            </w:r>
            <w:r>
              <w:rPr>
                <w:rFonts w:hint="eastAsia" w:ascii="宋体" w:hAnsi="宋体"/>
                <w:b/>
                <w:color w:val="000000"/>
                <w:sz w:val="20"/>
                <w:szCs w:val="20"/>
                <w:highlight w:val="none"/>
              </w:rPr>
              <w:t>服务提供场所）：</w:t>
            </w:r>
          </w:p>
          <w:p>
            <w:pPr>
              <w:spacing w:line="360" w:lineRule="auto"/>
              <w:rPr>
                <w:rFonts w:hint="default" w:ascii="宋体" w:eastAsia="宋体"/>
                <w:b/>
                <w:color w:val="000000"/>
                <w:sz w:val="20"/>
                <w:szCs w:val="20"/>
                <w:highlight w:val="none"/>
                <w:lang w:val="en-US" w:eastAsia="zh-CN"/>
              </w:rPr>
            </w:pPr>
            <w:r>
              <w:rPr>
                <w:rFonts w:hint="eastAsia" w:ascii="宋体" w:hAnsi="宋体"/>
                <w:b/>
                <w:color w:val="000000"/>
                <w:sz w:val="20"/>
                <w:szCs w:val="20"/>
                <w:highlight w:val="none"/>
              </w:rPr>
              <w:t>重点审核部门：</w:t>
            </w:r>
            <w:r>
              <w:rPr>
                <w:rFonts w:hint="eastAsia" w:ascii="宋体" w:hAnsi="宋体"/>
                <w:b/>
                <w:color w:val="000000"/>
                <w:sz w:val="20"/>
                <w:szCs w:val="20"/>
                <w:highlight w:val="none"/>
                <w:lang w:val="en-US" w:eastAsia="zh-CN"/>
              </w:rPr>
              <w:t>行政部、市场部</w:t>
            </w:r>
          </w:p>
          <w:p>
            <w:pPr>
              <w:spacing w:line="360" w:lineRule="auto"/>
              <w:rPr>
                <w:rFonts w:ascii="宋体"/>
                <w:b/>
                <w:color w:val="000000"/>
                <w:sz w:val="20"/>
                <w:szCs w:val="20"/>
                <w:highlight w:val="none"/>
              </w:rPr>
            </w:pPr>
            <w:r>
              <w:rPr>
                <w:rFonts w:hint="eastAsia" w:ascii="宋体" w:hAnsi="宋体"/>
                <w:b/>
                <w:color w:val="000000"/>
                <w:sz w:val="20"/>
                <w:szCs w:val="20"/>
                <w:highlight w:val="none"/>
              </w:rPr>
              <w:t>重点审核过程：产品销售控制、顾客满意；产品</w:t>
            </w:r>
            <w:r>
              <w:rPr>
                <w:rFonts w:hint="eastAsia" w:ascii="宋体" w:hAnsi="宋体"/>
                <w:b/>
                <w:color w:val="000000"/>
                <w:sz w:val="20"/>
                <w:szCs w:val="20"/>
                <w:highlight w:val="none"/>
                <w:lang w:eastAsia="zh-CN"/>
              </w:rPr>
              <w:t>交付</w:t>
            </w:r>
            <w:r>
              <w:rPr>
                <w:rFonts w:hint="eastAsia" w:ascii="宋体" w:hAnsi="宋体"/>
                <w:b/>
                <w:color w:val="000000"/>
                <w:sz w:val="20"/>
                <w:szCs w:val="20"/>
                <w:highlight w:val="none"/>
              </w:rPr>
              <w:t>、</w:t>
            </w:r>
            <w:r>
              <w:rPr>
                <w:rFonts w:hint="eastAsia" w:ascii="宋体" w:hAnsi="宋体"/>
                <w:b/>
                <w:color w:val="000000"/>
                <w:sz w:val="20"/>
                <w:szCs w:val="20"/>
                <w:highlight w:val="none"/>
                <w:lang w:eastAsia="zh-CN"/>
              </w:rPr>
              <w:t>售后</w:t>
            </w:r>
            <w:r>
              <w:rPr>
                <w:rFonts w:hint="eastAsia" w:ascii="宋体" w:hAnsi="宋体"/>
                <w:b/>
                <w:color w:val="000000"/>
                <w:sz w:val="20"/>
                <w:szCs w:val="20"/>
                <w:highlight w:val="none"/>
              </w:rPr>
              <w:t>服务</w:t>
            </w:r>
          </w:p>
          <w:p>
            <w:pPr>
              <w:spacing w:line="360" w:lineRule="auto"/>
              <w:rPr>
                <w:rFonts w:ascii="宋体"/>
                <w:b/>
                <w:color w:val="000000"/>
                <w:sz w:val="20"/>
                <w:szCs w:val="20"/>
              </w:rPr>
            </w:pPr>
            <w:r>
              <w:rPr>
                <w:rFonts w:hint="eastAsia" w:ascii="宋体" w:hAnsi="宋体"/>
                <w:b/>
                <w:color w:val="000000"/>
                <w:sz w:val="20"/>
                <w:szCs w:val="20"/>
                <w:highlight w:val="none"/>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行政部、市场部、财务部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行政部、市场部、财务部</w:t>
            </w:r>
          </w:p>
          <w:p>
            <w:pPr>
              <w:spacing w:line="260" w:lineRule="exact"/>
              <w:rPr>
                <w:rFonts w:ascii="宋体"/>
                <w:b/>
                <w:color w:val="000000"/>
                <w:sz w:val="20"/>
                <w:szCs w:val="20"/>
              </w:rPr>
            </w:pPr>
            <w:r>
              <w:rPr>
                <w:rFonts w:hint="eastAsia" w:ascii="宋体" w:hAnsi="宋体"/>
                <w:b/>
                <w:color w:val="000000"/>
                <w:sz w:val="20"/>
                <w:szCs w:val="20"/>
              </w:rPr>
              <w:t>重点审核场所：办公场所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建立有《内部审核管理制度》，于20</w:t>
            </w:r>
            <w:r>
              <w:rPr>
                <w:rFonts w:hint="eastAsia"/>
                <w:szCs w:val="21"/>
                <w:lang w:val="en-US" w:eastAsia="zh-CN"/>
              </w:rPr>
              <w:t>19</w:t>
            </w:r>
            <w:r>
              <w:rPr>
                <w:rFonts w:hint="eastAsia"/>
                <w:szCs w:val="21"/>
              </w:rPr>
              <w:t>年1</w:t>
            </w:r>
            <w:r>
              <w:rPr>
                <w:rFonts w:hint="eastAsia"/>
                <w:szCs w:val="21"/>
                <w:lang w:val="en-US" w:eastAsia="zh-CN"/>
              </w:rPr>
              <w:t>0</w:t>
            </w:r>
            <w:r>
              <w:rPr>
                <w:rFonts w:hint="eastAsia"/>
                <w:szCs w:val="21"/>
              </w:rPr>
              <w:t>月</w:t>
            </w:r>
            <w:r>
              <w:rPr>
                <w:rFonts w:hint="eastAsia"/>
                <w:szCs w:val="21"/>
                <w:lang w:val="en-US" w:eastAsia="zh-CN"/>
              </w:rPr>
              <w:t>8</w:t>
            </w:r>
            <w:r>
              <w:rPr>
                <w:rFonts w:hint="eastAsia"/>
                <w:szCs w:val="21"/>
              </w:rPr>
              <w:t>日进行了内部审核。</w:t>
            </w:r>
          </w:p>
          <w:p>
            <w:pPr>
              <w:spacing w:line="400" w:lineRule="exact"/>
              <w:rPr>
                <w:rFonts w:ascii="宋体"/>
                <w:b/>
                <w:color w:val="000000"/>
                <w:sz w:val="20"/>
                <w:szCs w:val="20"/>
              </w:rPr>
            </w:pPr>
            <w:r>
              <w:rPr>
                <w:rFonts w:hint="eastAsia"/>
                <w:szCs w:val="21"/>
              </w:rPr>
              <w:t>内部审核组</w:t>
            </w:r>
            <w:r>
              <w:rPr>
                <w:rFonts w:hint="eastAsia" w:ascii="Times New Roman" w:hAnsi="Times New Roman" w:cs="Times New Roman"/>
                <w:szCs w:val="21"/>
              </w:rPr>
              <w:t>由：</w:t>
            </w:r>
            <w:r>
              <w:rPr>
                <w:rFonts w:hint="eastAsia" w:ascii="Times New Roman" w:hAnsi="Times New Roman" w:cs="Times New Roman"/>
                <w:szCs w:val="21"/>
                <w:lang w:eastAsia="zh-CN"/>
              </w:rPr>
              <w:t>陈艳</w:t>
            </w:r>
            <w:r>
              <w:rPr>
                <w:rFonts w:hint="eastAsia" w:ascii="Times New Roman" w:hAnsi="Times New Roman" w:cs="Times New Roman"/>
                <w:szCs w:val="21"/>
              </w:rPr>
              <w:t xml:space="preserve">（ 组长）  </w:t>
            </w:r>
            <w:r>
              <w:rPr>
                <w:rFonts w:hint="eastAsia" w:ascii="Times New Roman" w:hAnsi="Times New Roman" w:cs="Times New Roman"/>
                <w:szCs w:val="21"/>
                <w:lang w:eastAsia="zh-CN"/>
              </w:rPr>
              <w:t>蒲发均</w:t>
            </w:r>
            <w:r>
              <w:rPr>
                <w:rFonts w:hint="eastAsia" w:ascii="Times New Roman" w:hAnsi="Times New Roman" w:cs="Times New Roman"/>
                <w:szCs w:val="21"/>
              </w:rPr>
              <w:t xml:space="preserve"> （组员）组</w:t>
            </w:r>
            <w:r>
              <w:rPr>
                <w:rFonts w:hint="eastAsia"/>
                <w:szCs w:val="21"/>
              </w:rPr>
              <w:t>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4"/>
              </w:rPr>
            </w:pPr>
            <w:r>
              <w:rPr>
                <w:rFonts w:ascii="仿宋" w:hAnsi="仿宋" w:eastAsia="仿宋"/>
                <w:sz w:val="24"/>
              </w:rPr>
              <w:t>审核范围:</w:t>
            </w:r>
            <w:r>
              <w:rPr>
                <w:rFonts w:hint="eastAsia" w:ascii="仿宋" w:hAnsi="仿宋" w:eastAsia="仿宋"/>
                <w:sz w:val="24"/>
              </w:rPr>
              <w:t>管理体系</w:t>
            </w:r>
            <w:r>
              <w:rPr>
                <w:rFonts w:ascii="仿宋" w:hAnsi="仿宋" w:eastAsia="仿宋"/>
                <w:sz w:val="24"/>
              </w:rPr>
              <w:t>涉及的</w:t>
            </w:r>
            <w:r>
              <w:rPr>
                <w:rFonts w:hint="eastAsia" w:ascii="仿宋" w:hAnsi="仿宋" w:eastAsia="仿宋"/>
                <w:sz w:val="24"/>
              </w:rPr>
              <w:t>公司</w:t>
            </w:r>
            <w:r>
              <w:rPr>
                <w:rFonts w:ascii="仿宋" w:hAnsi="仿宋" w:eastAsia="仿宋"/>
                <w:sz w:val="24"/>
              </w:rPr>
              <w:t>所有部门</w:t>
            </w:r>
            <w:r>
              <w:rPr>
                <w:rFonts w:hint="eastAsia" w:ascii="仿宋" w:hAnsi="仿宋" w:eastAsia="仿宋"/>
                <w:sz w:val="24"/>
              </w:rPr>
              <w:t>、服务场所</w:t>
            </w:r>
            <w:r>
              <w:rPr>
                <w:rFonts w:ascii="仿宋" w:hAnsi="仿宋" w:eastAsia="仿宋"/>
                <w:sz w:val="24"/>
              </w:rPr>
              <w:t>及</w:t>
            </w:r>
            <w:r>
              <w:rPr>
                <w:rFonts w:hint="eastAsia" w:ascii="仿宋" w:hAnsi="仿宋" w:eastAsia="仿宋"/>
                <w:sz w:val="24"/>
              </w:rPr>
              <w:t>活动场所</w:t>
            </w:r>
            <w:r>
              <w:rPr>
                <w:rFonts w:ascii="仿宋" w:hAnsi="仿宋" w:eastAsia="仿宋"/>
                <w:sz w:val="24"/>
              </w:rPr>
              <w:t>。</w:t>
            </w:r>
          </w:p>
          <w:p>
            <w:pPr>
              <w:numPr>
                <w:ilvl w:val="0"/>
                <w:numId w:val="1"/>
              </w:numPr>
              <w:spacing w:line="340" w:lineRule="exact"/>
              <w:rPr>
                <w:rFonts w:ascii="宋体"/>
                <w:b/>
                <w:color w:val="000000"/>
                <w:sz w:val="20"/>
                <w:szCs w:val="20"/>
              </w:rPr>
            </w:pPr>
            <w:r>
              <w:rPr>
                <w:rFonts w:ascii="仿宋" w:hAnsi="仿宋" w:eastAsia="仿宋"/>
                <w:sz w:val="24"/>
              </w:rPr>
              <w:t>审核准则：</w:t>
            </w:r>
            <w:r>
              <w:rPr>
                <w:rFonts w:hint="eastAsia" w:ascii="仿宋" w:hAnsi="仿宋" w:eastAsia="仿宋"/>
                <w:sz w:val="24"/>
              </w:rPr>
              <w:t>a.</w:t>
            </w:r>
            <w:r>
              <w:rPr>
                <w:rFonts w:hint="eastAsia" w:ascii="宋体" w:hAnsi="宋体"/>
              </w:rPr>
              <w:t>GB/T 24001-2016</w:t>
            </w:r>
            <w:r>
              <w:rPr>
                <w:rFonts w:hint="eastAsia" w:ascii="仿宋" w:hAnsi="仿宋" w:eastAsia="仿宋"/>
                <w:sz w:val="24"/>
              </w:rPr>
              <w:t>、</w:t>
            </w:r>
            <w:r>
              <w:rPr>
                <w:rFonts w:hint="eastAsia" w:ascii="宋体" w:hAnsi="宋体" w:eastAsia="仿宋"/>
              </w:rPr>
              <w:t>ISO45</w:t>
            </w:r>
            <w:r>
              <w:rPr>
                <w:rFonts w:hint="eastAsia" w:ascii="宋体" w:hAnsi="宋体"/>
              </w:rPr>
              <w:t>001：2018</w:t>
            </w:r>
            <w:r>
              <w:rPr>
                <w:rFonts w:hint="eastAsia" w:ascii="仿宋" w:hAnsi="仿宋" w:eastAsia="仿宋"/>
                <w:sz w:val="24"/>
              </w:rPr>
              <w:t>标准</w:t>
            </w:r>
            <w:r>
              <w:rPr>
                <w:rFonts w:ascii="仿宋" w:hAnsi="仿宋" w:eastAsia="仿宋"/>
                <w:sz w:val="24"/>
              </w:rPr>
              <w:t>；</w:t>
            </w:r>
            <w:r>
              <w:rPr>
                <w:rFonts w:hint="eastAsia" w:ascii="仿宋" w:hAnsi="仿宋" w:eastAsia="仿宋"/>
                <w:sz w:val="24"/>
              </w:rPr>
              <w:t xml:space="preserve"> b.</w:t>
            </w:r>
            <w:r>
              <w:rPr>
                <w:rFonts w:ascii="仿宋" w:hAnsi="仿宋" w:eastAsia="仿宋"/>
                <w:sz w:val="24"/>
              </w:rPr>
              <w:t>本公司管理体系文件；</w:t>
            </w:r>
            <w:r>
              <w:rPr>
                <w:rFonts w:hint="eastAsia" w:ascii="仿宋" w:hAnsi="仿宋" w:eastAsia="仿宋"/>
                <w:sz w:val="24"/>
              </w:rPr>
              <w:t>c.</w:t>
            </w:r>
            <w:r>
              <w:rPr>
                <w:rFonts w:ascii="仿宋" w:hAnsi="仿宋" w:eastAsia="仿宋"/>
                <w:sz w:val="24"/>
              </w:rPr>
              <w:t>相关的法律法规；</w:t>
            </w:r>
            <w:r>
              <w:rPr>
                <w:rFonts w:hint="eastAsia" w:ascii="仿宋" w:hAnsi="仿宋" w:eastAsia="仿宋"/>
                <w:sz w:val="24"/>
              </w:rPr>
              <w:t xml:space="preserve"> d.顾客及</w:t>
            </w:r>
            <w:r>
              <w:rPr>
                <w:rFonts w:ascii="仿宋" w:hAnsi="仿宋" w:eastAsia="仿宋"/>
                <w:sz w:val="24"/>
              </w:rPr>
              <w:t>相关方要求</w:t>
            </w:r>
            <w:r>
              <w:rPr>
                <w:rFonts w:hint="eastAsia" w:ascii="仿宋" w:hAnsi="仿宋" w:eastAsia="仿宋"/>
                <w:sz w:val="24"/>
              </w:rPr>
              <w:t>等</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w:t>
            </w:r>
            <w:r>
              <w:rPr>
                <w:rFonts w:hint="eastAsia" w:ascii="宋体" w:hAnsi="宋体"/>
              </w:rPr>
              <w:t>GB/T 24001-2016</w:t>
            </w:r>
            <w:r>
              <w:rPr>
                <w:rFonts w:hint="eastAsia" w:ascii="仿宋" w:hAnsi="仿宋" w:eastAsia="仿宋"/>
                <w:sz w:val="24"/>
              </w:rPr>
              <w:t>和</w:t>
            </w:r>
            <w:r>
              <w:rPr>
                <w:rFonts w:hint="eastAsia" w:ascii="宋体" w:hAnsi="宋体" w:eastAsia="仿宋"/>
              </w:rPr>
              <w:t>ISO45</w:t>
            </w:r>
            <w:r>
              <w:rPr>
                <w:rFonts w:hint="eastAsia" w:ascii="宋体" w:hAnsi="宋体"/>
              </w:rPr>
              <w:t>001：2018</w:t>
            </w:r>
            <w:r>
              <w:rPr>
                <w:rFonts w:hint="eastAsia" w:ascii="宋体" w:hAnsi="宋体" w:cs="宋体"/>
                <w:w w:val="90"/>
                <w:szCs w:val="21"/>
              </w:rPr>
              <w:t>标准体系文件管理手册、体系文件进行了全面检查，通过审核可以看出管理体系已基本进入了正常状态，但仍存在一些问题，需要把握顾客的需求及加强销售和售后服务人员的培训。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szCs w:val="21"/>
              </w:rPr>
              <w:t>2019年</w:t>
            </w:r>
            <w:r>
              <w:rPr>
                <w:rFonts w:hint="eastAsia" w:ascii="宋体" w:hAnsi="宋体"/>
                <w:szCs w:val="21"/>
                <w:lang w:val="en-US" w:eastAsia="zh-CN"/>
              </w:rPr>
              <w:t>10</w:t>
            </w:r>
            <w:r>
              <w:rPr>
                <w:rFonts w:hint="eastAsia" w:ascii="宋体" w:hAnsi="宋体"/>
                <w:szCs w:val="21"/>
              </w:rPr>
              <w:t>月2</w:t>
            </w:r>
            <w:r>
              <w:rPr>
                <w:rFonts w:hint="eastAsia" w:ascii="宋体" w:hAnsi="宋体"/>
                <w:szCs w:val="21"/>
                <w:lang w:val="en-US" w:eastAsia="zh-CN"/>
              </w:rPr>
              <w:t>5</w:t>
            </w:r>
            <w:r>
              <w:rPr>
                <w:rFonts w:hint="eastAsia" w:ascii="宋体" w:hAnsi="宋体"/>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97" w:type="dxa"/>
            <w:gridSpan w:val="2"/>
          </w:tcPr>
          <w:p>
            <w:pPr>
              <w:widowControl/>
              <w:jc w:val="left"/>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b/>
          <w:color w:val="000000"/>
          <w:sz w:val="20"/>
          <w:szCs w:val="20"/>
          <w:lang w:eastAsia="zh-CN"/>
        </w:rPr>
      </w:pPr>
      <w:r>
        <w:rPr>
          <w:rFonts w:hint="eastAsia" w:ascii="宋体" w:hAnsi="宋体"/>
          <w:b/>
          <w:color w:val="000000"/>
          <w:sz w:val="20"/>
          <w:szCs w:val="20"/>
        </w:rPr>
        <w:t>Q</w:t>
      </w:r>
      <w:r>
        <w:rPr>
          <w:rFonts w:hint="eastAsia" w:ascii="宋体" w:hAnsi="宋体"/>
          <w:b/>
          <w:color w:val="000000"/>
          <w:sz w:val="20"/>
          <w:szCs w:val="20"/>
          <w:lang w:val="en-US" w:eastAsia="zh-CN"/>
        </w:rPr>
        <w:t>MS</w:t>
      </w:r>
      <w:r>
        <w:rPr>
          <w:rFonts w:hint="eastAsia" w:ascii="宋体" w:hAnsi="宋体"/>
          <w:b/>
          <w:color w:val="000000"/>
          <w:sz w:val="20"/>
          <w:szCs w:val="20"/>
        </w:rPr>
        <w:t>：建材（不含危化品）的销售</w:t>
      </w:r>
      <w:r>
        <w:rPr>
          <w:rFonts w:hint="eastAsia" w:ascii="宋体" w:hAnsi="宋体"/>
          <w:b/>
          <w:color w:val="000000"/>
          <w:sz w:val="20"/>
          <w:szCs w:val="20"/>
          <w:lang w:eastAsia="zh-CN"/>
        </w:rPr>
        <w:t>。</w:t>
      </w:r>
    </w:p>
    <w:p>
      <w:pPr>
        <w:spacing w:line="300" w:lineRule="auto"/>
        <w:ind w:firstLine="201" w:firstLineChars="100"/>
        <w:rPr>
          <w:rFonts w:hint="eastAsia" w:ascii="宋体" w:hAnsi="宋体"/>
          <w:b/>
          <w:color w:val="000000"/>
          <w:sz w:val="20"/>
          <w:szCs w:val="20"/>
          <w:lang w:eastAsia="zh-CN"/>
        </w:rPr>
      </w:pPr>
      <w:r>
        <w:rPr>
          <w:rFonts w:hint="eastAsia" w:ascii="宋体" w:hAnsi="宋体"/>
          <w:b/>
          <w:color w:val="000000"/>
          <w:sz w:val="20"/>
          <w:szCs w:val="20"/>
        </w:rPr>
        <w:t>E</w:t>
      </w:r>
      <w:r>
        <w:rPr>
          <w:rFonts w:hint="eastAsia" w:ascii="宋体" w:hAnsi="宋体"/>
          <w:b/>
          <w:color w:val="000000"/>
          <w:sz w:val="20"/>
          <w:szCs w:val="20"/>
          <w:lang w:val="en-US" w:eastAsia="zh-CN"/>
        </w:rPr>
        <w:t>MS</w:t>
      </w:r>
      <w:r>
        <w:rPr>
          <w:rFonts w:hint="eastAsia" w:ascii="宋体" w:hAnsi="宋体"/>
          <w:b/>
          <w:color w:val="000000"/>
          <w:sz w:val="20"/>
          <w:szCs w:val="20"/>
        </w:rPr>
        <w:t>：建材（不含危化品）的销售及相关环境管理活动</w:t>
      </w:r>
      <w:r>
        <w:rPr>
          <w:rFonts w:hint="eastAsia" w:ascii="宋体" w:hAnsi="宋体"/>
          <w:b/>
          <w:color w:val="000000"/>
          <w:sz w:val="20"/>
          <w:szCs w:val="20"/>
          <w:lang w:eastAsia="zh-CN"/>
        </w:rPr>
        <w:t>。</w:t>
      </w:r>
    </w:p>
    <w:p>
      <w:pPr>
        <w:spacing w:line="300" w:lineRule="auto"/>
        <w:ind w:firstLine="201" w:firstLineChars="100"/>
        <w:rPr>
          <w:rFonts w:hint="eastAsia" w:ascii="宋体" w:hAnsi="宋体"/>
          <w:b/>
          <w:color w:val="000000"/>
          <w:sz w:val="20"/>
          <w:szCs w:val="20"/>
          <w:lang w:eastAsia="zh-CN"/>
        </w:rPr>
      </w:pPr>
      <w:r>
        <w:rPr>
          <w:rFonts w:hint="eastAsia" w:ascii="宋体" w:hAnsi="宋体"/>
          <w:b/>
          <w:color w:val="000000"/>
          <w:sz w:val="20"/>
          <w:szCs w:val="20"/>
        </w:rPr>
        <w:t>O</w:t>
      </w:r>
      <w:r>
        <w:rPr>
          <w:rFonts w:hint="eastAsia" w:ascii="宋体" w:hAnsi="宋体"/>
          <w:b/>
          <w:color w:val="000000"/>
          <w:sz w:val="20"/>
          <w:szCs w:val="20"/>
          <w:lang w:val="en-US" w:eastAsia="zh-CN"/>
        </w:rPr>
        <w:t>HSMS</w:t>
      </w:r>
      <w:r>
        <w:rPr>
          <w:rFonts w:hint="eastAsia" w:ascii="宋体" w:hAnsi="宋体"/>
          <w:b/>
          <w:color w:val="000000"/>
          <w:sz w:val="20"/>
          <w:szCs w:val="20"/>
        </w:rPr>
        <w:t>：建材（不含危化品）的销售及相关职业健康安全管理活动</w:t>
      </w:r>
      <w:r>
        <w:rPr>
          <w:rFonts w:hint="eastAsia" w:ascii="宋体" w:hAnsi="宋体"/>
          <w:b/>
          <w:color w:val="000000"/>
          <w:sz w:val="20"/>
          <w:szCs w:val="20"/>
          <w:lang w:eastAsia="zh-CN"/>
        </w:rPr>
        <w:t>。</w:t>
      </w:r>
    </w:p>
    <w:p>
      <w:pPr>
        <w:spacing w:line="300" w:lineRule="auto"/>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ascii="宋体" w:hAnsi="宋体"/>
          <w:b/>
          <w:color w:val="000000"/>
        </w:rPr>
        <w:drawing>
          <wp:anchor distT="0" distB="0" distL="114300" distR="114300" simplePos="0" relativeHeight="251659264" behindDoc="0" locked="0" layoutInCell="1" allowOverlap="1">
            <wp:simplePos x="0" y="0"/>
            <wp:positionH relativeFrom="column">
              <wp:posOffset>1771650</wp:posOffset>
            </wp:positionH>
            <wp:positionV relativeFrom="paragraph">
              <wp:posOffset>28575</wp:posOffset>
            </wp:positionV>
            <wp:extent cx="543560" cy="336550"/>
            <wp:effectExtent l="0" t="0" r="8890" b="6350"/>
            <wp:wrapNone/>
            <wp:docPr id="3" name="图片 3"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杨珍全电子签名"/>
                    <pic:cNvPicPr>
                      <a:picLocks noChangeAspect="1"/>
                    </pic:cNvPicPr>
                  </pic:nvPicPr>
                  <pic:blipFill>
                    <a:blip r:embed="rId6"/>
                    <a:stretch>
                      <a:fillRect/>
                    </a:stretch>
                  </pic:blipFill>
                  <pic:spPr>
                    <a:xfrm>
                      <a:off x="0" y="0"/>
                      <a:ext cx="543560" cy="336550"/>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ascii="宋体" w:hAnsi="宋体"/>
          <w:b/>
          <w:color w:val="000000"/>
        </w:rPr>
        <w:drawing>
          <wp:anchor distT="0" distB="0" distL="114300" distR="114300" simplePos="0" relativeHeight="251658240" behindDoc="0" locked="0" layoutInCell="1" allowOverlap="1">
            <wp:simplePos x="0" y="0"/>
            <wp:positionH relativeFrom="column">
              <wp:posOffset>1858010</wp:posOffset>
            </wp:positionH>
            <wp:positionV relativeFrom="paragraph">
              <wp:posOffset>139700</wp:posOffset>
            </wp:positionV>
            <wp:extent cx="448945" cy="317500"/>
            <wp:effectExtent l="0" t="0" r="8255" b="571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7"/>
                    <a:stretch>
                      <a:fillRect/>
                    </a:stretch>
                  </pic:blipFill>
                  <pic:spPr>
                    <a:xfrm>
                      <a:off x="0" y="0"/>
                      <a:ext cx="448945" cy="317500"/>
                    </a:xfrm>
                    <a:prstGeom prst="rect">
                      <a:avLst/>
                    </a:prstGeom>
                  </pic:spPr>
                </pic:pic>
              </a:graphicData>
            </a:graphic>
          </wp:anchor>
        </w:drawing>
      </w:r>
    </w:p>
    <w:p>
      <w:pPr>
        <w:spacing w:line="240" w:lineRule="auto"/>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2020.03.20</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r>
        <w:rPr>
          <w:rFonts w:hint="eastAsia" w:eastAsia="隶书"/>
          <w:color w:val="000000"/>
          <w:sz w:val="32"/>
          <w:szCs w:val="32"/>
          <w:lang w:eastAsia="zh-CN"/>
        </w:rPr>
        <w:t>远程</w:t>
      </w:r>
      <w:r>
        <w:rPr>
          <w:rFonts w:hint="eastAsia" w:eastAsia="隶书"/>
          <w:color w:val="000000"/>
          <w:sz w:val="32"/>
          <w:szCs w:val="32"/>
        </w:rPr>
        <w:t>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受审核方：叙永县泰宇建材有限公司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w:t>
            </w:r>
            <w:r>
              <w:rPr>
                <w:rFonts w:hint="eastAsia"/>
                <w:b/>
                <w:color w:val="000000"/>
                <w:spacing w:val="-10"/>
                <w:szCs w:val="21"/>
                <w:lang w:eastAsia="zh-CN"/>
              </w:rPr>
              <w:t>远程</w:t>
            </w:r>
            <w:r>
              <w:rPr>
                <w:rFonts w:hint="eastAsia"/>
                <w:b/>
                <w:color w:val="000000"/>
                <w:spacing w:val="-10"/>
                <w:szCs w:val="21"/>
              </w:rPr>
              <w:t>审核前不需提交书面材料的整改项（第项，共项）</w:t>
            </w:r>
          </w:p>
          <w:p>
            <w:pPr>
              <w:spacing w:line="280" w:lineRule="exact"/>
              <w:rPr>
                <w:rFonts w:hint="eastAsia" w:eastAsia="宋体"/>
                <w:b/>
                <w:color w:val="000000"/>
                <w:sz w:val="22"/>
                <w:szCs w:val="22"/>
                <w:lang w:eastAsia="zh-CN"/>
              </w:rPr>
            </w:pPr>
            <w:r>
              <w:rPr>
                <w:rFonts w:hint="eastAsia"/>
                <w:b/>
                <w:color w:val="000000"/>
                <w:sz w:val="22"/>
                <w:szCs w:val="22"/>
              </w:rPr>
              <w:t>审核员：</w:t>
            </w:r>
            <w:r>
              <w:rPr>
                <w:rFonts w:hint="eastAsia"/>
                <w:b/>
                <w:color w:val="000000"/>
                <w:sz w:val="22"/>
                <w:szCs w:val="22"/>
                <w:lang w:eastAsia="zh-CN"/>
              </w:rPr>
              <w:t>杨珍全</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20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lang w:eastAsia="zh-CN"/>
              </w:rPr>
              <w:t>陈艳</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3</w:t>
            </w:r>
            <w:r>
              <w:rPr>
                <w:rFonts w:hint="eastAsia"/>
                <w:b/>
                <w:color w:val="000000"/>
                <w:sz w:val="22"/>
                <w:szCs w:val="22"/>
              </w:rPr>
              <w:t xml:space="preserve"> 月 </w:t>
            </w:r>
            <w:r>
              <w:rPr>
                <w:rFonts w:hint="eastAsia"/>
                <w:b/>
                <w:color w:val="000000"/>
                <w:sz w:val="22"/>
                <w:szCs w:val="22"/>
                <w:lang w:val="en-US" w:eastAsia="zh-CN"/>
              </w:rPr>
              <w:t>20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lang w:eastAsia="zh-CN"/>
              </w:rPr>
              <w:t>远程</w:t>
            </w:r>
            <w:r>
              <w:rPr>
                <w:rFonts w:hint="eastAsia"/>
                <w:b/>
                <w:color w:val="000000"/>
                <w:spacing w:val="-12"/>
                <w:sz w:val="26"/>
                <w:szCs w:val="26"/>
              </w:rPr>
              <w:t>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eastAsia="zh-CN"/>
              </w:rPr>
              <w:t>杨珍全</w:t>
            </w:r>
            <w:r>
              <w:rPr>
                <w:rFonts w:hint="eastAsia"/>
                <w:b/>
                <w:color w:val="000000"/>
                <w:sz w:val="22"/>
                <w:szCs w:val="22"/>
              </w:rPr>
              <w:t xml:space="preserve">               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3</w:t>
            </w:r>
            <w:r>
              <w:rPr>
                <w:rFonts w:hint="eastAsia"/>
                <w:b/>
                <w:color w:val="000000"/>
                <w:sz w:val="22"/>
                <w:szCs w:val="22"/>
              </w:rPr>
              <w:t xml:space="preserve"> 月</w:t>
            </w:r>
            <w:r>
              <w:rPr>
                <w:rFonts w:hint="eastAsia"/>
                <w:b/>
                <w:color w:val="000000"/>
                <w:sz w:val="22"/>
                <w:szCs w:val="22"/>
                <w:lang w:val="en-US" w:eastAsia="zh-CN"/>
              </w:rPr>
              <w:t>20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A0124C"/>
    <w:rsid w:val="024046CC"/>
    <w:rsid w:val="03193BAF"/>
    <w:rsid w:val="032548A8"/>
    <w:rsid w:val="06AE51AF"/>
    <w:rsid w:val="09EC562B"/>
    <w:rsid w:val="0C5C5642"/>
    <w:rsid w:val="0CBA7118"/>
    <w:rsid w:val="0D563768"/>
    <w:rsid w:val="0DB6276A"/>
    <w:rsid w:val="0E631CF5"/>
    <w:rsid w:val="0F1B1367"/>
    <w:rsid w:val="12AC7689"/>
    <w:rsid w:val="145A4E11"/>
    <w:rsid w:val="149528A7"/>
    <w:rsid w:val="160961F4"/>
    <w:rsid w:val="17850EB4"/>
    <w:rsid w:val="1852700C"/>
    <w:rsid w:val="195662B8"/>
    <w:rsid w:val="1C3F0EC4"/>
    <w:rsid w:val="1E4572CD"/>
    <w:rsid w:val="1E8A4FDB"/>
    <w:rsid w:val="1F8112D4"/>
    <w:rsid w:val="24CE13C5"/>
    <w:rsid w:val="26E8226D"/>
    <w:rsid w:val="27784475"/>
    <w:rsid w:val="296A1D9F"/>
    <w:rsid w:val="2D273CC3"/>
    <w:rsid w:val="2E185102"/>
    <w:rsid w:val="306B47CF"/>
    <w:rsid w:val="34C42F42"/>
    <w:rsid w:val="34C94DDD"/>
    <w:rsid w:val="35685210"/>
    <w:rsid w:val="35F82F6E"/>
    <w:rsid w:val="36615A31"/>
    <w:rsid w:val="373760E9"/>
    <w:rsid w:val="388651AD"/>
    <w:rsid w:val="3C006862"/>
    <w:rsid w:val="3C1B1851"/>
    <w:rsid w:val="3C465E41"/>
    <w:rsid w:val="3D817126"/>
    <w:rsid w:val="3E667CA4"/>
    <w:rsid w:val="3E8D6358"/>
    <w:rsid w:val="3EFB6EC0"/>
    <w:rsid w:val="3F166E9F"/>
    <w:rsid w:val="403D57D8"/>
    <w:rsid w:val="40992682"/>
    <w:rsid w:val="41FF58F2"/>
    <w:rsid w:val="42DD375E"/>
    <w:rsid w:val="46DC6F48"/>
    <w:rsid w:val="46E33F54"/>
    <w:rsid w:val="49E33620"/>
    <w:rsid w:val="4AE80AF9"/>
    <w:rsid w:val="4CBB516C"/>
    <w:rsid w:val="4D3A55A5"/>
    <w:rsid w:val="53FB37CE"/>
    <w:rsid w:val="542E500C"/>
    <w:rsid w:val="58D82A91"/>
    <w:rsid w:val="58EC0C43"/>
    <w:rsid w:val="5AA8186F"/>
    <w:rsid w:val="5B5811CD"/>
    <w:rsid w:val="5B971596"/>
    <w:rsid w:val="5C3333D8"/>
    <w:rsid w:val="5D204CB4"/>
    <w:rsid w:val="5E3368CF"/>
    <w:rsid w:val="5EE53133"/>
    <w:rsid w:val="5F855841"/>
    <w:rsid w:val="61284EBC"/>
    <w:rsid w:val="61AB363C"/>
    <w:rsid w:val="6689465D"/>
    <w:rsid w:val="67265AED"/>
    <w:rsid w:val="679D142E"/>
    <w:rsid w:val="690A24FB"/>
    <w:rsid w:val="6A7A0F55"/>
    <w:rsid w:val="6AB2455E"/>
    <w:rsid w:val="6ACD2DAD"/>
    <w:rsid w:val="6B45648D"/>
    <w:rsid w:val="6B8C7AA4"/>
    <w:rsid w:val="6E896CDA"/>
    <w:rsid w:val="6F655B89"/>
    <w:rsid w:val="6FF11437"/>
    <w:rsid w:val="722B1444"/>
    <w:rsid w:val="78C023B8"/>
    <w:rsid w:val="798D2766"/>
    <w:rsid w:val="7B342E66"/>
    <w:rsid w:val="7C6D5B52"/>
    <w:rsid w:val="7D0434D6"/>
    <w:rsid w:val="7D3E1F4E"/>
    <w:rsid w:val="7D423BF8"/>
    <w:rsid w:val="7FEA65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2020-04-02T04:35:26Z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