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4-2022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美滋颜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13MA31HDYA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美滋颜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厦门市翔安区翔安工业园区巷北片区舫山北二路1123-1139号1号楼2层、3层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厦门市翔安区翔安工业园区巷北片区舫山北二路1123-1139号1号楼2层、3层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厦门市翔安区翔安工业园区巷北片区舫山北二路1123-1139号1号楼2层、3层北侧厦门美滋颜实业有限公司生产车间的固体饮料（风味固体饮料）、植物饮料、糖果（凝胶糖果、压片糖果）、果味型果冻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美滋颜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厦门市翔安区翔安工业园区巷北片区舫山北二路1123-1139号1号楼2层、3层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厦门市翔安区翔安工业园区巷北片区舫山北二路1123-1139号1号楼2层、3层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厦门市翔安区翔安工业园区巷北片区舫山北二路1123-1139号1号楼2层、3层北侧厦门美滋颜实业有限公司生产车间的固体饮料（风味固体饮料）、植物饮料、糖果（凝胶糖果、压片糖果）、果味型果冻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