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left"/>
              <w:rPr>
                <w:rFonts w:hint="eastAsia"/>
                <w:b/>
                <w:sz w:val="22"/>
                <w:szCs w:val="22"/>
              </w:rPr>
            </w:pPr>
            <w:bookmarkStart w:id="0" w:name="组织名称"/>
            <w:r>
              <w:rPr>
                <w:rFonts w:hint="eastAsia"/>
                <w:b/>
                <w:sz w:val="22"/>
                <w:szCs w:val="22"/>
              </w:rPr>
              <w:t>成都华芯众合电子科技有限公司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0058-2020-QE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2020.03.11上午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2020.03.11上午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b/>
                <w:bCs/>
                <w:kern w:val="0"/>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b/>
                <w:bCs/>
                <w:kern w:val="0"/>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b/>
                <w:bCs/>
                <w:kern w:val="0"/>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b/>
                <w:bCs/>
                <w:kern w:val="0"/>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b/>
                <w:bCs/>
                <w:kern w:val="0"/>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b/>
                <w:bCs/>
                <w:kern w:val="0"/>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b/>
                <w:bCs/>
                <w:kern w:val="0"/>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b/>
                <w:bCs/>
                <w:kern w:val="0"/>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bCs/>
                <w:kern w:val="0"/>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ascii="宋体" w:hAnsi="宋体"/>
                <w:b/>
                <w:bCs/>
                <w:kern w:val="0"/>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jc w:val="both"/>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2020.3.11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9F24ED"/>
    <w:rsid w:val="7C7744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2020-03-18T02:22:54Z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