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lang w:val="en-US" w:eastAsia="zh-CN"/>
        </w:rPr>
        <w:t xml:space="preserve">                                                    </w:t>
      </w:r>
      <w:bookmarkStart w:id="0" w:name="合同编号"/>
      <w:r>
        <w:rPr>
          <w:szCs w:val="44"/>
        </w:rPr>
        <w:t>0057-2020-Q</w:t>
      </w:r>
      <w:bookmarkEnd w:id="0"/>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绵阳市鑫隆化工有限公司</w:t>
      </w:r>
      <w:bookmarkEnd w:id="1"/>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绵阳市鑫隆化工有限公司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四川省绵阳市经开区经开区文武路509号</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610000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四川省绵阳市经开区经开区文武路509号</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马学洋</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18231875050</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刘彦平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刘彦平</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资质范围内化学品销售</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29.11.05</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2019-09-20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商贸</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商贸部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120"/>
        <w:gridCol w:w="626"/>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2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26" w:type="dxa"/>
          </w:tcPr>
          <w:p>
            <w:pPr>
              <w:rPr>
                <w:b/>
                <w:color w:val="000000" w:themeColor="text1"/>
                <w:sz w:val="20"/>
                <w:szCs w:val="20"/>
              </w:rPr>
            </w:pPr>
            <w:r>
              <w:rPr>
                <w:rFonts w:hint="eastAsia"/>
                <w:b/>
                <w:color w:val="000000" w:themeColor="text1"/>
                <w:sz w:val="20"/>
                <w:szCs w:val="20"/>
              </w:rPr>
              <w:t>规格</w:t>
            </w:r>
          </w:p>
        </w:tc>
        <w:tc>
          <w:tcPr>
            <w:tcW w:w="631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spacing w:line="0" w:lineRule="atLeast"/>
              <w:jc w:val="left"/>
              <w:rPr>
                <w:b/>
                <w:color w:val="FF0000"/>
                <w:sz w:val="20"/>
                <w:szCs w:val="20"/>
              </w:rPr>
            </w:pPr>
            <w:r>
              <w:rPr>
                <w:rFonts w:ascii="宋体" w:hAnsi="宋体"/>
                <w:b/>
                <w:color w:val="000000" w:themeColor="text1"/>
                <w:sz w:val="20"/>
                <w:szCs w:val="20"/>
              </w:rPr>
              <w:t>资质范围内化学品销售</w:t>
            </w:r>
          </w:p>
        </w:tc>
        <w:tc>
          <w:tcPr>
            <w:tcW w:w="1120" w:type="dxa"/>
          </w:tcPr>
          <w:p>
            <w:pPr>
              <w:rPr>
                <w:b/>
                <w:sz w:val="20"/>
                <w:szCs w:val="20"/>
              </w:rPr>
            </w:pPr>
          </w:p>
        </w:tc>
        <w:tc>
          <w:tcPr>
            <w:tcW w:w="626" w:type="dxa"/>
          </w:tcPr>
          <w:p>
            <w:pPr>
              <w:rPr>
                <w:b/>
                <w:color w:val="000000" w:themeColor="text1"/>
                <w:sz w:val="20"/>
                <w:szCs w:val="20"/>
              </w:rPr>
            </w:pPr>
          </w:p>
        </w:tc>
        <w:tc>
          <w:tcPr>
            <w:tcW w:w="6313" w:type="dxa"/>
          </w:tcPr>
          <w:p>
            <w:pPr>
              <w:spacing w:line="400" w:lineRule="exact"/>
              <w:rPr>
                <w:b/>
                <w:color w:val="000000" w:themeColor="text1"/>
                <w:sz w:val="20"/>
                <w:szCs w:val="20"/>
              </w:rPr>
            </w:pPr>
            <w:r>
              <w:rPr>
                <w:rFonts w:hint="eastAsia" w:ascii="宋体" w:hAnsi="宋体"/>
                <w:b/>
                <w:color w:val="000000" w:themeColor="text1"/>
                <w:sz w:val="20"/>
                <w:szCs w:val="20"/>
              </w:rPr>
              <w:t>中华人民共和国合同法、中华人民共和国劳动法、中华人民共和国安全消防法、</w:t>
            </w:r>
            <w:r>
              <w:rPr>
                <w:rFonts w:ascii="宋体" w:hAnsi="宋体"/>
                <w:b/>
                <w:color w:val="000000" w:themeColor="text1"/>
                <w:sz w:val="20"/>
                <w:szCs w:val="20"/>
              </w:rPr>
              <w:t>中华人民共和国产品质量法</w:t>
            </w:r>
            <w:r>
              <w:rPr>
                <w:rFonts w:hint="eastAsia" w:ascii="宋体" w:hAnsi="宋体"/>
                <w:b/>
                <w:color w:val="000000" w:themeColor="text1"/>
                <w:sz w:val="20"/>
                <w:szCs w:val="20"/>
              </w:rPr>
              <w:t>、中华人民共和国消费者权益法等</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9</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3</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adjustRightInd w:val="0"/>
              <w:snapToGrid w:val="0"/>
              <w:spacing w:line="360" w:lineRule="auto"/>
              <w:ind w:firstLine="402" w:firstLineChars="200"/>
              <w:jc w:val="both"/>
              <w:rPr>
                <w:rFonts w:hint="eastAsia"/>
                <w:sz w:val="21"/>
                <w:szCs w:val="2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以专业的渠道，优质的产品赢得客户的青睐；</w:t>
            </w:r>
          </w:p>
          <w:p>
            <w:pPr>
              <w:spacing w:line="360" w:lineRule="auto"/>
              <w:ind w:firstLine="3780" w:firstLineChars="1800"/>
              <w:rPr>
                <w:b/>
                <w:color w:val="000000" w:themeColor="text1"/>
              </w:rPr>
            </w:pPr>
            <w:r>
              <w:rPr>
                <w:rFonts w:hint="eastAsia"/>
                <w:sz w:val="21"/>
                <w:szCs w:val="21"/>
              </w:rPr>
              <w:t>以诚信的态度，科学的管理赢得进步的空间。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ascii="宋体" w:hAnsi="宋体"/>
                <w:b/>
                <w:color w:val="000000" w:themeColor="text1"/>
                <w:sz w:val="20"/>
                <w:szCs w:val="20"/>
              </w:rPr>
              <w:t>资质范围内化学品销售</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销售过程</w:t>
            </w:r>
          </w:p>
          <w:p>
            <w:pPr>
              <w:spacing w:line="400" w:lineRule="exact"/>
              <w:rPr>
                <w:rFonts w:ascii="宋体" w:hAnsi="宋体"/>
                <w:b/>
                <w:color w:val="000000" w:themeColor="text1"/>
                <w:szCs w:val="21"/>
              </w:rPr>
            </w:pPr>
            <w:r>
              <w:rPr>
                <w:rFonts w:hint="eastAsia" w:ascii="宋体" w:hAnsi="宋体"/>
                <w:b/>
                <w:color w:val="000000" w:themeColor="text1"/>
                <w:sz w:val="20"/>
                <w:szCs w:val="20"/>
                <w:lang w:eastAsia="zh-CN"/>
              </w:rPr>
              <w:t xml:space="preserve">需要确认过程：销售过程 </w:t>
            </w:r>
            <w:r>
              <w:rPr>
                <w:rFonts w:hint="eastAsia" w:ascii="宋体" w:hAnsi="宋体"/>
                <w:b/>
                <w:color w:val="000000" w:themeColor="text1"/>
                <w:sz w:val="20"/>
                <w:szCs w:val="20"/>
              </w:rPr>
              <w:t xml:space="preserve">      ，不适用理由：</w:t>
            </w:r>
            <w:r>
              <w:rPr>
                <w:rFonts w:hint="eastAsia"/>
                <w:sz w:val="21"/>
                <w:szCs w:val="21"/>
                <w:lang w:eastAsia="zh-CN"/>
              </w:rPr>
              <w:t>公司主要是进行资质范围内化学品销的售，所有产品依据客户要求、标准进行销售，不涉及设计开发，故GB/T19001-2016标准8.3条款不适合，对于该条款的不适用不影响组织向顾客提供合格产品及满足相关法律法规要求的能力和责任。</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400" w:lineRule="exact"/>
              <w:rPr>
                <w:rFonts w:hint="eastAsia"/>
                <w:sz w:val="21"/>
                <w:szCs w:val="21"/>
                <w:lang w:eastAsia="zh-CN"/>
              </w:rPr>
            </w:pPr>
            <w:r>
              <w:rPr>
                <w:rFonts w:hint="eastAsia"/>
                <w:sz w:val="21"/>
                <w:szCs w:val="21"/>
                <w:lang w:eastAsia="zh-CN"/>
              </w:rPr>
              <w:t>1、客户满意度＞90分</w:t>
            </w:r>
          </w:p>
          <w:p>
            <w:pPr>
              <w:spacing w:line="400" w:lineRule="exact"/>
              <w:rPr>
                <w:rFonts w:hint="eastAsia"/>
                <w:sz w:val="21"/>
                <w:szCs w:val="21"/>
                <w:lang w:eastAsia="zh-CN"/>
              </w:rPr>
            </w:pPr>
            <w:r>
              <w:rPr>
                <w:rFonts w:hint="eastAsia"/>
                <w:sz w:val="21"/>
                <w:szCs w:val="21"/>
                <w:lang w:eastAsia="zh-CN"/>
              </w:rPr>
              <w:t>2、产品交付合格率100%</w:t>
            </w:r>
          </w:p>
          <w:p>
            <w:pPr>
              <w:spacing w:line="300" w:lineRule="exact"/>
              <w:rPr>
                <w:rFonts w:ascii="宋体" w:hAnsi="宋体"/>
                <w:b/>
                <w:color w:val="000000" w:themeColor="text1"/>
              </w:rPr>
            </w:pPr>
            <w:r>
              <w:rPr>
                <w:rFonts w:hint="eastAsia"/>
                <w:sz w:val="21"/>
                <w:szCs w:val="21"/>
                <w:lang w:eastAsia="zh-CN"/>
              </w:rPr>
              <w:t>3、产品按时交付率100%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09</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w:t>
            </w:r>
            <w:r>
              <w:rPr>
                <w:rFonts w:hint="eastAsia" w:ascii="宋体" w:hAnsi="宋体" w:cs="宋体"/>
                <w:color w:val="000000" w:themeColor="text1"/>
                <w:lang w:eastAsia="zh-CN"/>
              </w:rPr>
              <w:t>组织</w:t>
            </w:r>
            <w:r>
              <w:rPr>
                <w:rFonts w:hint="eastAsia" w:ascii="宋体" w:hAnsi="宋体" w:cs="宋体"/>
                <w:color w:val="000000" w:themeColor="text1"/>
              </w:rPr>
              <w:t>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产品的</w:t>
            </w:r>
            <w:r>
              <w:rPr>
                <w:rFonts w:hint="eastAsia" w:ascii="宋体" w:hAnsi="宋体"/>
                <w:szCs w:val="21"/>
                <w:lang w:eastAsia="zh-CN"/>
              </w:rPr>
              <w:t>销售</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color w:val="000000" w:themeColor="text1"/>
                <w:sz w:val="21"/>
                <w:szCs w:val="21"/>
                <w:lang w:val="en-US" w:eastAsia="zh-CN"/>
              </w:rPr>
              <w:t>组织有销售办公场地约80平方左右.主要经营设备包括：电脑及办公设备等，可以满足产品销售需要。对设备按月方式进行点检维护保养，并实施。特种设备：无。公司未建立信息管理系统用于生产和服务。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办公室</w:t>
            </w:r>
            <w:r>
              <w:rPr>
                <w:rFonts w:hint="eastAsia" w:ascii="宋体" w:hAnsi="宋体" w:cs="宋体"/>
                <w:szCs w:val="21"/>
              </w:rPr>
              <w:t>内设备布置合理，通道畅通，照明设施齐全，均配备了消防设施等设施。办公室明亮，作业场所光线较充足。每月由</w:t>
            </w:r>
            <w:r>
              <w:rPr>
                <w:rFonts w:hint="eastAsia" w:ascii="宋体" w:hAnsi="宋体" w:cs="宋体"/>
                <w:szCs w:val="21"/>
                <w:lang w:eastAsia="zh-CN"/>
              </w:rPr>
              <w:t>综合</w:t>
            </w:r>
            <w:r>
              <w:rPr>
                <w:rFonts w:hint="eastAsia" w:ascii="宋体" w:hAnsi="宋体" w:cs="宋体"/>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hint="eastAsia" w:ascii="宋体" w:hAnsi="宋体" w:eastAsia="宋体"/>
                <w:b/>
                <w:color w:val="000000" w:themeColor="text1"/>
                <w:sz w:val="20"/>
                <w:szCs w:val="20"/>
                <w:lang w:eastAsia="zh-CN"/>
              </w:rPr>
            </w:pPr>
            <w:r>
              <w:rPr>
                <w:rFonts w:hint="eastAsia" w:ascii="宋体" w:hAnsi="宋体" w:eastAsia="宋体" w:cs="宋体"/>
                <w:color w:val="000000"/>
                <w:sz w:val="21"/>
                <w:szCs w:val="21"/>
              </w:rPr>
              <w:t>公司只对名称、规格型号、外观、质量证明</w:t>
            </w:r>
            <w:r>
              <w:rPr>
                <w:rFonts w:hint="eastAsia" w:ascii="宋体" w:hAnsi="宋体" w:cs="宋体"/>
                <w:color w:val="000000"/>
                <w:sz w:val="21"/>
                <w:szCs w:val="21"/>
                <w:lang w:eastAsia="zh-CN"/>
              </w:rPr>
              <w:t>性文件</w:t>
            </w:r>
            <w:r>
              <w:rPr>
                <w:rFonts w:hint="eastAsia" w:ascii="宋体" w:hAnsi="宋体" w:eastAsia="宋体" w:cs="宋体"/>
                <w:color w:val="000000"/>
                <w:sz w:val="21"/>
                <w:szCs w:val="21"/>
              </w:rPr>
              <w:t>等进行验证</w:t>
            </w:r>
            <w:r>
              <w:rPr>
                <w:rFonts w:hint="eastAsia" w:ascii="宋体" w:hAnsi="宋体" w:eastAsia="宋体" w:cs="宋体"/>
                <w:color w:val="000000"/>
                <w:sz w:val="21"/>
                <w:szCs w:val="21"/>
                <w:lang w:eastAsia="zh-CN"/>
              </w:rPr>
              <w:t>；质量技术特性由供方提供，故公司无</w:t>
            </w:r>
            <w:r>
              <w:rPr>
                <w:rFonts w:hint="eastAsia" w:ascii="宋体" w:hAnsi="宋体" w:eastAsia="宋体" w:cs="宋体"/>
                <w:color w:val="000000"/>
                <w:sz w:val="21"/>
                <w:szCs w:val="21"/>
              </w:rPr>
              <w:t>监视和测量设备</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w:t>
            </w:r>
            <w:r>
              <w:rPr>
                <w:rFonts w:hint="eastAsia" w:ascii="宋体" w:hAnsi="宋体" w:cs="宋体"/>
                <w:color w:val="000000"/>
                <w:szCs w:val="21"/>
                <w:lang w:eastAsia="zh-CN"/>
              </w:rPr>
              <w:t>销售</w:t>
            </w:r>
            <w:r>
              <w:rPr>
                <w:rFonts w:hint="eastAsia" w:ascii="宋体" w:hAnsi="宋体" w:cs="宋体"/>
                <w:color w:val="000000"/>
                <w:szCs w:val="21"/>
              </w:rPr>
              <w:t>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w:t>
            </w:r>
            <w:r>
              <w:rPr>
                <w:rFonts w:hint="eastAsia" w:ascii="宋体" w:hAnsi="宋体" w:cs="宋体"/>
                <w:color w:val="000000"/>
                <w:szCs w:val="21"/>
                <w:lang w:eastAsia="zh-CN"/>
              </w:rPr>
              <w:t>销售</w:t>
            </w:r>
            <w:r>
              <w:rPr>
                <w:rFonts w:hint="eastAsia" w:ascii="宋体" w:hAnsi="宋体" w:cs="宋体"/>
                <w:color w:val="000000"/>
                <w:szCs w:val="21"/>
              </w:rPr>
              <w:t>服务过程，从审核过程看，公司的产品质量管理基本受控。</w:t>
            </w:r>
            <w:r>
              <w:rPr>
                <w:b/>
                <w:color w:val="000000" w:themeColor="text1"/>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：销售过程</w:t>
            </w:r>
            <w:r>
              <w:rPr>
                <w:rFonts w:hint="eastAsia" w:ascii="宋体" w:hAnsi="宋体" w:cs="宋体"/>
                <w:color w:val="000000"/>
                <w:szCs w:val="21"/>
              </w:rPr>
              <w:t>、特殊过程</w:t>
            </w:r>
            <w:r>
              <w:rPr>
                <w:rFonts w:hint="eastAsia" w:ascii="宋体" w:hAnsi="宋体" w:cs="宋体"/>
                <w:color w:val="000000"/>
                <w:szCs w:val="21"/>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制定并实施了产品检验控制规定，规定了公司各管理层次和品质检测部门在各阶段对服务质量实施检查与验收的管理要求。内容基本具备全面性、系统性及可操作性。质量检查与验收均在</w:t>
            </w:r>
            <w:r>
              <w:rPr>
                <w:rFonts w:hint="eastAsia" w:ascii="宋体" w:hAnsi="宋体" w:cs="宋体"/>
                <w:color w:val="000000"/>
                <w:szCs w:val="21"/>
                <w:lang w:eastAsia="zh-CN"/>
              </w:rPr>
              <w:t>交付</w:t>
            </w:r>
            <w:r>
              <w:rPr>
                <w:rFonts w:hint="eastAsia" w:ascii="宋体" w:hAnsi="宋体" w:cs="宋体"/>
                <w:color w:val="000000"/>
                <w:szCs w:val="21"/>
              </w:rPr>
              <w:t>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远程</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rFonts w:hint="eastAsia" w:eastAsia="宋体"/>
                <w:b/>
                <w:color w:val="000000" w:themeColor="text1"/>
                <w:sz w:val="20"/>
                <w:szCs w:val="20"/>
                <w:lang w:eastAsia="zh-CN"/>
              </w:rPr>
            </w:pPr>
            <w:r>
              <w:rPr>
                <w:rFonts w:hint="eastAsia"/>
                <w:b/>
                <w:color w:val="000000" w:themeColor="text1"/>
                <w:sz w:val="20"/>
                <w:szCs w:val="20"/>
              </w:rPr>
              <w:t>特种设备：</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eastAsia="宋体" w:cs="宋体"/>
                <w:color w:val="000000"/>
                <w:szCs w:val="21"/>
              </w:rPr>
              <w:t>通过</w:t>
            </w:r>
            <w:r>
              <w:rPr>
                <w:rFonts w:hint="eastAsia" w:ascii="宋体" w:hAnsi="宋体" w:eastAsia="宋体" w:cs="宋体"/>
                <w:color w:val="000000"/>
                <w:szCs w:val="21"/>
                <w:lang w:val="en-US" w:eastAsia="zh-CN"/>
              </w:rPr>
              <w:t>2019.9月-2020年2月</w:t>
            </w:r>
            <w:r>
              <w:rPr>
                <w:rFonts w:hint="eastAsia" w:ascii="宋体" w:hAnsi="宋体" w:eastAsia="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w:t>
            </w:r>
            <w:r>
              <w:rPr>
                <w:rFonts w:hint="eastAsia" w:ascii="宋体" w:hAnsi="宋体" w:eastAsia="宋体" w:cs="宋体"/>
                <w:color w:val="000000"/>
                <w:szCs w:val="21"/>
              </w:rPr>
              <w:t>用上不够，需要改善。近年来未发生重大顾客投诉和产品质量事故。顾客满意度调查按规定实施，2019年</w:t>
            </w:r>
            <w:r>
              <w:rPr>
                <w:rFonts w:hint="eastAsia" w:ascii="宋体" w:hAnsi="宋体" w:eastAsia="宋体" w:cs="宋体"/>
                <w:color w:val="000000"/>
                <w:szCs w:val="21"/>
                <w:lang w:val="en-US" w:eastAsia="zh-CN"/>
              </w:rPr>
              <w:t>11</w:t>
            </w:r>
            <w:r>
              <w:rPr>
                <w:rFonts w:hint="eastAsia" w:ascii="宋体" w:hAnsi="宋体" w:eastAsia="宋体" w:cs="宋体"/>
                <w:color w:val="000000"/>
                <w:szCs w:val="21"/>
              </w:rPr>
              <w:t>月实施，满意度评价9</w:t>
            </w:r>
            <w:r>
              <w:rPr>
                <w:rFonts w:hint="eastAsia" w:ascii="宋体" w:hAnsi="宋体" w:eastAsia="宋体" w:cs="宋体"/>
                <w:color w:val="000000"/>
                <w:szCs w:val="21"/>
                <w:lang w:val="en-US" w:eastAsia="zh-CN"/>
              </w:rPr>
              <w:t>6分</w:t>
            </w:r>
            <w:r>
              <w:rPr>
                <w:rFonts w:hint="eastAsia" w:ascii="宋体" w:hAnsi="宋体" w:eastAsia="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eastAsia="宋体"/>
                <w:sz w:val="21"/>
                <w:szCs w:val="21"/>
                <w:lang w:eastAsia="zh-CN"/>
              </w:rPr>
              <w:t>建立有《内部审核控制程序》，规定了内审频次一年一次，内审时间：2019年 1</w:t>
            </w:r>
            <w:r>
              <w:rPr>
                <w:rFonts w:hint="eastAsia" w:eastAsia="宋体"/>
                <w:sz w:val="21"/>
                <w:szCs w:val="21"/>
                <w:lang w:val="en-US" w:eastAsia="zh-CN"/>
              </w:rPr>
              <w:t>2</w:t>
            </w:r>
            <w:r>
              <w:rPr>
                <w:rFonts w:hint="eastAsia" w:eastAsia="宋体"/>
                <w:sz w:val="21"/>
                <w:szCs w:val="21"/>
                <w:lang w:eastAsia="zh-CN"/>
              </w:rPr>
              <w:t>月 7日，拟定了审核实施表，明确了内审范围，内审人员经培训合格上岗，能力满足要求，未出现审核本部门情况，内审不符合项</w:t>
            </w:r>
            <w:r>
              <w:rPr>
                <w:rFonts w:hint="eastAsia" w:eastAsia="宋体"/>
                <w:sz w:val="21"/>
                <w:szCs w:val="21"/>
                <w:lang w:val="en-US" w:eastAsia="zh-CN"/>
              </w:rPr>
              <w:t>1</w:t>
            </w:r>
            <w:r>
              <w:rPr>
                <w:rFonts w:hint="eastAsia" w:eastAsia="宋体"/>
                <w:sz w:val="21"/>
                <w:szCs w:val="21"/>
                <w:lang w:eastAsia="zh-CN"/>
              </w:rPr>
              <w:t>项，涉及商贸部</w:t>
            </w:r>
            <w:r>
              <w:rPr>
                <w:rFonts w:hint="eastAsia" w:eastAsia="宋体"/>
                <w:sz w:val="21"/>
                <w:szCs w:val="21"/>
                <w:lang w:val="en-US" w:eastAsia="zh-CN"/>
              </w:rPr>
              <w:t>8.2.3条款，不符合事实描述“</w:t>
            </w:r>
            <w:r>
              <w:rPr>
                <w:rFonts w:hint="eastAsia" w:eastAsia="宋体"/>
                <w:sz w:val="21"/>
                <w:szCs w:val="21"/>
                <w:lang w:eastAsia="zh-CN"/>
              </w:rPr>
              <w:t>商贸部未能提供部分合同的评审记录</w:t>
            </w:r>
            <w:r>
              <w:rPr>
                <w:rFonts w:hint="eastAsia" w:eastAsia="宋体"/>
                <w:sz w:val="21"/>
                <w:szCs w:val="21"/>
                <w:lang w:val="en-US" w:eastAsia="zh-CN"/>
              </w:rPr>
              <w:t>”</w:t>
            </w:r>
            <w:r>
              <w:rPr>
                <w:rFonts w:hint="eastAsia" w:eastAsia="宋体"/>
                <w:sz w:val="21"/>
                <w:szCs w:val="21"/>
                <w:lang w:eastAsia="zh-CN"/>
              </w:rPr>
              <w:t>。</w:t>
            </w:r>
            <w:r>
              <w:rPr>
                <w:rFonts w:hint="eastAsia" w:eastAsia="宋体"/>
                <w:sz w:val="21"/>
                <w:szCs w:val="21"/>
                <w:lang w:val="en-US" w:eastAsia="zh-CN"/>
              </w:rPr>
              <w:t>”</w:t>
            </w:r>
            <w:r>
              <w:rPr>
                <w:rFonts w:hint="eastAsia" w:eastAsia="宋体"/>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w:t>
            </w:r>
            <w:r>
              <w:rPr>
                <w:rFonts w:hint="eastAsia" w:ascii="宋体" w:hAnsi="宋体" w:cs="宋体"/>
                <w:szCs w:val="21"/>
                <w:lang w:val="en-US" w:eastAsia="zh-CN"/>
              </w:rPr>
              <w:t>19</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 xml:space="preserve">1. 本次审核共开具Q不符合项报告 </w:t>
      </w:r>
      <w:r>
        <w:rPr>
          <w:rFonts w:hint="eastAsia"/>
          <w:b/>
          <w:color w:val="000000" w:themeColor="text1"/>
          <w:lang w:val="en-US" w:eastAsia="zh-CN"/>
        </w:rPr>
        <w:t>1</w:t>
      </w:r>
      <w:r>
        <w:rPr>
          <w:rFonts w:hint="eastAsia"/>
          <w:b/>
          <w:color w:val="000000" w:themeColor="text1"/>
        </w:rPr>
        <w:t xml:space="preserve"> 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1</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eastAsia="zh-CN"/>
        </w:rPr>
        <w:t>商贸部</w:t>
      </w:r>
      <w:r>
        <w:rPr>
          <w:rFonts w:hint="eastAsia"/>
          <w:b/>
          <w:color w:val="000000" w:themeColor="text1"/>
        </w:rPr>
        <w:t>部门条款</w:t>
      </w:r>
      <w:r>
        <w:rPr>
          <w:rFonts w:hint="eastAsia"/>
          <w:b/>
          <w:color w:val="000000" w:themeColor="text1"/>
          <w:lang w:val="en-US" w:eastAsia="zh-CN"/>
        </w:rPr>
        <w:t>9.1.3）</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可能影响本次审核结论可靠性的因素：已完成</w:t>
      </w:r>
      <w:r>
        <w:rPr>
          <w:rFonts w:hint="eastAsia" w:ascii="宋体" w:hAnsi="宋体"/>
          <w:b/>
          <w:color w:val="000000" w:themeColor="text1"/>
          <w:szCs w:val="21"/>
          <w:lang w:eastAsia="zh-CN"/>
        </w:rPr>
        <w:t>远程</w:t>
      </w:r>
      <w:r>
        <w:rPr>
          <w:rFonts w:hint="eastAsia" w:ascii="宋体" w:hAnsi="宋体"/>
          <w:b/>
          <w:color w:val="000000" w:themeColor="text1"/>
          <w:szCs w:val="21"/>
        </w:rPr>
        <w:t>审核计划的全部工作</w:t>
      </w:r>
      <w:r>
        <w:rPr>
          <w:rFonts w:hint="eastAsia" w:ascii="宋体" w:hAnsi="宋体"/>
          <w:b/>
          <w:color w:val="000000" w:themeColor="text1"/>
          <w:szCs w:val="21"/>
          <w:lang w:eastAsia="zh-CN"/>
        </w:rPr>
        <w:t>，后续将安排</w:t>
      </w:r>
      <w:r>
        <w:rPr>
          <w:rFonts w:hint="eastAsia" w:ascii="宋体" w:hAnsi="宋体"/>
          <w:b/>
          <w:color w:val="000000" w:themeColor="text1"/>
          <w:szCs w:val="21"/>
          <w:lang w:val="en-US" w:eastAsia="zh-CN"/>
        </w:rPr>
        <w:t>0.5人日现场核实审核实际情况。</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ind w:firstLine="382" w:firstLineChars="200"/>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资质范围内化学品销售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156" w:beforeLines="50" w:after="156" w:afterLines="50"/>
        <w:ind w:left="-1535" w:leftChars="-731" w:firstLine="663" w:firstLineChars="300"/>
        <w:rPr>
          <w:b/>
          <w:color w:val="000000" w:themeColor="text1"/>
          <w:sz w:val="16"/>
          <w:szCs w:val="16"/>
        </w:rPr>
      </w:pPr>
      <w:r>
        <w:rPr>
          <w:rFonts w:hint="eastAsia"/>
          <w:b/>
          <w:sz w:val="22"/>
          <w:szCs w:val="22"/>
        </w:rPr>
        <w:drawing>
          <wp:anchor distT="0" distB="0" distL="114300" distR="114300" simplePos="0" relativeHeight="251697152" behindDoc="0" locked="0" layoutInCell="1" allowOverlap="1">
            <wp:simplePos x="0" y="0"/>
            <wp:positionH relativeFrom="column">
              <wp:posOffset>1423670</wp:posOffset>
            </wp:positionH>
            <wp:positionV relativeFrom="paragraph">
              <wp:posOffset>161290</wp:posOffset>
            </wp:positionV>
            <wp:extent cx="749935" cy="567690"/>
            <wp:effectExtent l="0" t="0" r="12065" b="1143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749935" cy="56769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0" w:leftChars="-32" w:hanging="57" w:hangingChars="26"/>
        <w:rPr>
          <w:b/>
          <w:color w:val="000000" w:themeColor="text1"/>
        </w:rPr>
      </w:pPr>
      <w:r>
        <w:rPr>
          <w:rFonts w:hint="eastAsia"/>
          <w:b/>
          <w:sz w:val="22"/>
          <w:szCs w:val="22"/>
        </w:rPr>
        <w:drawing>
          <wp:anchor distT="0" distB="0" distL="114300" distR="114300" simplePos="0" relativeHeight="251683840" behindDoc="0" locked="0" layoutInCell="1" allowOverlap="1">
            <wp:simplePos x="0" y="0"/>
            <wp:positionH relativeFrom="column">
              <wp:posOffset>1499870</wp:posOffset>
            </wp:positionH>
            <wp:positionV relativeFrom="paragraph">
              <wp:posOffset>199390</wp:posOffset>
            </wp:positionV>
            <wp:extent cx="749935" cy="567690"/>
            <wp:effectExtent l="0" t="0" r="12065" b="1143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749935" cy="56769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11115</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 xml:space="preserve">  15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bookmarkStart w:id="19" w:name="_GoBack"/>
      <w:bookmarkEnd w:id="19"/>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1</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70528" behindDoc="0" locked="0" layoutInCell="1" allowOverlap="1">
            <wp:simplePos x="0" y="0"/>
            <wp:positionH relativeFrom="column">
              <wp:posOffset>833120</wp:posOffset>
            </wp:positionH>
            <wp:positionV relativeFrom="paragraph">
              <wp:posOffset>8255</wp:posOffset>
            </wp:positionV>
            <wp:extent cx="749935" cy="567690"/>
            <wp:effectExtent l="0" t="0" r="12065" b="1143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749935" cy="56769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 xml:space="preserve">    年  </w:t>
      </w:r>
      <w:r>
        <w:rPr>
          <w:rFonts w:hint="eastAsia"/>
          <w:b/>
          <w:color w:val="000000" w:themeColor="text1"/>
          <w:szCs w:val="21"/>
          <w:lang w:val="en-US" w:eastAsia="zh-CN"/>
        </w:rPr>
        <w:t>3</w:t>
      </w:r>
      <w:r>
        <w:rPr>
          <w:rFonts w:hint="eastAsia"/>
          <w:b/>
          <w:color w:val="000000" w:themeColor="text1"/>
          <w:szCs w:val="21"/>
        </w:rPr>
        <w:t xml:space="preserve">  月  </w:t>
      </w:r>
      <w:r>
        <w:rPr>
          <w:rFonts w:hint="eastAsia"/>
          <w:b/>
          <w:color w:val="000000" w:themeColor="text1"/>
          <w:szCs w:val="21"/>
          <w:lang w:val="en-US" w:eastAsia="zh-CN"/>
        </w:rPr>
        <w:t>21</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8"/>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15A2C6E"/>
    <w:rsid w:val="0275247F"/>
    <w:rsid w:val="06F27F2D"/>
    <w:rsid w:val="07A84CB2"/>
    <w:rsid w:val="089E2646"/>
    <w:rsid w:val="0AE52265"/>
    <w:rsid w:val="0CC7527B"/>
    <w:rsid w:val="0EB36807"/>
    <w:rsid w:val="0FB74A65"/>
    <w:rsid w:val="10E854AA"/>
    <w:rsid w:val="1198680D"/>
    <w:rsid w:val="126F7B51"/>
    <w:rsid w:val="14DB0987"/>
    <w:rsid w:val="1974056C"/>
    <w:rsid w:val="1ABB01D3"/>
    <w:rsid w:val="1ACD62B8"/>
    <w:rsid w:val="1B4F1B57"/>
    <w:rsid w:val="1C440198"/>
    <w:rsid w:val="1C5F0C83"/>
    <w:rsid w:val="1DCB178B"/>
    <w:rsid w:val="1E40289E"/>
    <w:rsid w:val="1F520E03"/>
    <w:rsid w:val="214D658D"/>
    <w:rsid w:val="21611269"/>
    <w:rsid w:val="218A16F9"/>
    <w:rsid w:val="25CD1223"/>
    <w:rsid w:val="2D661B74"/>
    <w:rsid w:val="2F1239C1"/>
    <w:rsid w:val="32081D79"/>
    <w:rsid w:val="32BB3FAA"/>
    <w:rsid w:val="32C1463B"/>
    <w:rsid w:val="34265884"/>
    <w:rsid w:val="34BF317B"/>
    <w:rsid w:val="36EC7F03"/>
    <w:rsid w:val="37556DFE"/>
    <w:rsid w:val="3B860344"/>
    <w:rsid w:val="3BBD6F38"/>
    <w:rsid w:val="3C191EA6"/>
    <w:rsid w:val="3C6210A8"/>
    <w:rsid w:val="3D1277C5"/>
    <w:rsid w:val="401450D1"/>
    <w:rsid w:val="4292115D"/>
    <w:rsid w:val="432329ED"/>
    <w:rsid w:val="43380ADB"/>
    <w:rsid w:val="455B7DE8"/>
    <w:rsid w:val="46736188"/>
    <w:rsid w:val="469452FC"/>
    <w:rsid w:val="48212822"/>
    <w:rsid w:val="49154314"/>
    <w:rsid w:val="49C82B1C"/>
    <w:rsid w:val="49D96455"/>
    <w:rsid w:val="49FA7342"/>
    <w:rsid w:val="4B173D3E"/>
    <w:rsid w:val="4B4A3A22"/>
    <w:rsid w:val="58F61897"/>
    <w:rsid w:val="5C0F099A"/>
    <w:rsid w:val="5CDD1C2D"/>
    <w:rsid w:val="5FD65205"/>
    <w:rsid w:val="61A2120B"/>
    <w:rsid w:val="61BF2D9B"/>
    <w:rsid w:val="63E122A7"/>
    <w:rsid w:val="653F2CB5"/>
    <w:rsid w:val="673B259B"/>
    <w:rsid w:val="69DE7923"/>
    <w:rsid w:val="6A1418BC"/>
    <w:rsid w:val="6BCE5F42"/>
    <w:rsid w:val="6D1A2693"/>
    <w:rsid w:val="6F5B59DC"/>
    <w:rsid w:val="73226B9D"/>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0</TotalTime>
  <ScaleCrop>false</ScaleCrop>
  <LinksUpToDate>false</LinksUpToDate>
  <CharactersWithSpaces>9156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2020-03-21T03:27:55Z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