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0039-2020-QEO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河北卫人人力资源开发有限公司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val="0"/>
                <w:bCs w:val="0"/>
                <w:color w:val="000000" w:themeColor="text1"/>
                <w:sz w:val="18"/>
                <w:szCs w:val="18"/>
              </w:rPr>
            </w:pPr>
            <w:r>
              <w:rPr>
                <w:rFonts w:hint="eastAsia"/>
                <w:b w:val="0"/>
                <w:bCs w:val="0"/>
                <w:sz w:val="18"/>
                <w:szCs w:val="18"/>
              </w:rPr>
              <w:t>吉洁</w:t>
            </w:r>
          </w:p>
        </w:tc>
        <w:tc>
          <w:tcPr>
            <w:tcW w:w="1094" w:type="dxa"/>
            <w:vAlign w:val="center"/>
          </w:tcPr>
          <w:p>
            <w:pPr>
              <w:spacing w:line="240" w:lineRule="exact"/>
              <w:rPr>
                <w:b w:val="0"/>
                <w:bCs w:val="0"/>
                <w:color w:val="000000" w:themeColor="text1"/>
                <w:sz w:val="18"/>
                <w:szCs w:val="18"/>
              </w:rPr>
            </w:pPr>
            <w:r>
              <w:rPr>
                <w:rFonts w:hint="eastAsia"/>
                <w:b w:val="0"/>
                <w:bCs w:val="0"/>
                <w:sz w:val="18"/>
                <w:szCs w:val="18"/>
                <w:lang w:val="en-US" w:eastAsia="zh-CN"/>
              </w:rPr>
              <w:t>组长</w:t>
            </w:r>
          </w:p>
        </w:tc>
        <w:tc>
          <w:tcPr>
            <w:tcW w:w="1114" w:type="dxa"/>
            <w:vAlign w:val="center"/>
          </w:tcPr>
          <w:p>
            <w:pPr>
              <w:spacing w:line="240" w:lineRule="exact"/>
              <w:jc w:val="center"/>
              <w:rPr>
                <w:b w:val="0"/>
                <w:bCs w:val="0"/>
                <w:color w:val="000000" w:themeColor="text1"/>
                <w:sz w:val="18"/>
                <w:szCs w:val="18"/>
              </w:rPr>
            </w:pPr>
            <w:r>
              <w:rPr>
                <w:rFonts w:hint="eastAsia"/>
                <w:b w:val="0"/>
                <w:bCs w:val="0"/>
                <w:sz w:val="18"/>
                <w:szCs w:val="18"/>
              </w:rPr>
              <w:t>女</w:t>
            </w:r>
          </w:p>
        </w:tc>
        <w:tc>
          <w:tcPr>
            <w:tcW w:w="3339" w:type="dxa"/>
            <w:gridSpan w:val="3"/>
            <w:vAlign w:val="top"/>
          </w:tcPr>
          <w:p>
            <w:pPr>
              <w:spacing w:line="240" w:lineRule="exact"/>
              <w:rPr>
                <w:rFonts w:hint="eastAsia"/>
                <w:b w:val="0"/>
                <w:bCs w:val="0"/>
                <w:color w:val="000000" w:themeColor="text1"/>
                <w:sz w:val="18"/>
                <w:szCs w:val="18"/>
              </w:rPr>
            </w:pPr>
            <w:r>
              <w:rPr>
                <w:rFonts w:hint="eastAsia"/>
                <w:b w:val="0"/>
                <w:bCs w:val="0"/>
                <w:color w:val="000000" w:themeColor="text1"/>
                <w:sz w:val="18"/>
                <w:szCs w:val="18"/>
              </w:rPr>
              <w:t>2019-N1QMS-3022240</w:t>
            </w:r>
          </w:p>
          <w:p>
            <w:pPr>
              <w:spacing w:line="240" w:lineRule="exact"/>
              <w:rPr>
                <w:rFonts w:hint="eastAsia"/>
                <w:b w:val="0"/>
                <w:bCs w:val="0"/>
                <w:color w:val="000000" w:themeColor="text1"/>
                <w:sz w:val="18"/>
                <w:szCs w:val="18"/>
              </w:rPr>
            </w:pPr>
            <w:r>
              <w:rPr>
                <w:rFonts w:hint="eastAsia"/>
                <w:b w:val="0"/>
                <w:bCs w:val="0"/>
                <w:color w:val="000000" w:themeColor="text1"/>
                <w:sz w:val="18"/>
                <w:szCs w:val="18"/>
              </w:rPr>
              <w:t>2020-N1EMS-3022240</w:t>
            </w:r>
          </w:p>
          <w:p>
            <w:pPr>
              <w:spacing w:line="240" w:lineRule="exact"/>
              <w:rPr>
                <w:b w:val="0"/>
                <w:bCs w:val="0"/>
                <w:color w:val="000000" w:themeColor="text1"/>
                <w:sz w:val="18"/>
                <w:szCs w:val="18"/>
              </w:rPr>
            </w:pPr>
            <w:r>
              <w:rPr>
                <w:rFonts w:hint="eastAsia"/>
                <w:b w:val="0"/>
                <w:bCs w:val="0"/>
                <w:color w:val="000000" w:themeColor="text1"/>
                <w:sz w:val="18"/>
                <w:szCs w:val="18"/>
              </w:rPr>
              <w:t>2020-N1OHSMS-3022240</w:t>
            </w:r>
          </w:p>
        </w:tc>
        <w:tc>
          <w:tcPr>
            <w:tcW w:w="2472" w:type="dxa"/>
            <w:gridSpan w:val="2"/>
            <w:vAlign w:val="center"/>
          </w:tcPr>
          <w:p>
            <w:pPr>
              <w:spacing w:line="240" w:lineRule="exact"/>
              <w:jc w:val="center"/>
              <w:rPr>
                <w:rFonts w:hint="eastAsia" w:eastAsia="宋体"/>
                <w:b w:val="0"/>
                <w:bCs w:val="0"/>
                <w:color w:val="000000" w:themeColor="text1"/>
                <w:sz w:val="18"/>
                <w:szCs w:val="18"/>
                <w:lang w:eastAsia="zh-CN"/>
              </w:rPr>
            </w:pPr>
            <w:r>
              <w:rPr>
                <w:rFonts w:hint="eastAsia"/>
                <w:b w:val="0"/>
                <w:bCs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rFonts w:hint="eastAsia" w:ascii="Times New Roman" w:hAnsi="Times New Roman" w:eastAsia="宋体" w:cs="Times New Roman"/>
                <w:b w:val="0"/>
                <w:bCs w:val="0"/>
                <w:kern w:val="2"/>
                <w:sz w:val="18"/>
                <w:szCs w:val="18"/>
                <w:lang w:val="en-US" w:eastAsia="zh-CN" w:bidi="ar-SA"/>
              </w:rPr>
            </w:pPr>
            <w:r>
              <w:rPr>
                <w:b w:val="0"/>
                <w:bCs w:val="0"/>
                <w:sz w:val="18"/>
                <w:szCs w:val="18"/>
              </w:rPr>
              <w:t>刘小丁</w:t>
            </w:r>
          </w:p>
        </w:tc>
        <w:tc>
          <w:tcPr>
            <w:tcW w:w="1094" w:type="dxa"/>
            <w:vAlign w:val="center"/>
          </w:tcPr>
          <w:p>
            <w:pPr>
              <w:spacing w:line="240" w:lineRule="exact"/>
              <w:jc w:val="both"/>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专家</w:t>
            </w:r>
          </w:p>
        </w:tc>
        <w:tc>
          <w:tcPr>
            <w:tcW w:w="1114" w:type="dxa"/>
            <w:vAlign w:val="center"/>
          </w:tcPr>
          <w:p>
            <w:pPr>
              <w:spacing w:line="240" w:lineRule="exact"/>
              <w:jc w:val="center"/>
              <w:rPr>
                <w:rFonts w:hint="eastAsia" w:ascii="Times New Roman" w:hAnsi="Times New Roman" w:eastAsia="宋体" w:cs="Times New Roman"/>
                <w:b w:val="0"/>
                <w:bCs w:val="0"/>
                <w:kern w:val="2"/>
                <w:sz w:val="18"/>
                <w:szCs w:val="18"/>
                <w:lang w:val="en-US" w:eastAsia="zh-CN" w:bidi="ar-SA"/>
              </w:rPr>
            </w:pPr>
            <w:r>
              <w:rPr>
                <w:rFonts w:hint="eastAsia"/>
                <w:b w:val="0"/>
                <w:bCs w:val="0"/>
                <w:sz w:val="18"/>
                <w:szCs w:val="18"/>
                <w:lang w:val="en-US" w:eastAsia="zh-CN"/>
              </w:rPr>
              <w:t>女</w:t>
            </w:r>
          </w:p>
        </w:tc>
        <w:tc>
          <w:tcPr>
            <w:tcW w:w="3339" w:type="dxa"/>
            <w:gridSpan w:val="3"/>
            <w:vAlign w:val="top"/>
          </w:tcPr>
          <w:p>
            <w:pPr>
              <w:spacing w:line="240" w:lineRule="exact"/>
              <w:rPr>
                <w:rFonts w:hint="eastAsia" w:eastAsia="宋体"/>
                <w:b w:val="0"/>
                <w:bCs w:val="0"/>
                <w:color w:val="000000" w:themeColor="text1"/>
                <w:sz w:val="18"/>
                <w:szCs w:val="18"/>
                <w:lang w:val="en-US" w:eastAsia="zh-CN"/>
              </w:rPr>
            </w:pPr>
          </w:p>
        </w:tc>
        <w:tc>
          <w:tcPr>
            <w:tcW w:w="2472" w:type="dxa"/>
            <w:gridSpan w:val="2"/>
            <w:vAlign w:val="center"/>
          </w:tcPr>
          <w:p>
            <w:pPr>
              <w:spacing w:line="240" w:lineRule="exact"/>
              <w:jc w:val="center"/>
              <w:rPr>
                <w:b w:val="0"/>
                <w:bCs w:val="0"/>
                <w:sz w:val="18"/>
                <w:szCs w:val="18"/>
              </w:rPr>
            </w:pPr>
            <w:r>
              <w:rPr>
                <w:b w:val="0"/>
                <w:bCs w:val="0"/>
                <w:sz w:val="18"/>
                <w:szCs w:val="18"/>
              </w:rPr>
              <w:t>Q</w:t>
            </w:r>
            <w:r>
              <w:rPr>
                <w:rFonts w:hint="eastAsia"/>
                <w:b w:val="0"/>
                <w:bCs w:val="0"/>
                <w:sz w:val="18"/>
                <w:szCs w:val="18"/>
                <w:lang w:val="en-US" w:eastAsia="zh-CN"/>
              </w:rPr>
              <w:t>EO</w:t>
            </w:r>
            <w:r>
              <w:rPr>
                <w:b w:val="0"/>
                <w:bCs w:val="0"/>
                <w:sz w:val="18"/>
                <w:szCs w:val="18"/>
              </w:rPr>
              <w:t>:35.09.00,35.10.00,</w:t>
            </w:r>
          </w:p>
          <w:p>
            <w:pPr>
              <w:spacing w:line="240" w:lineRule="exact"/>
              <w:jc w:val="center"/>
              <w:rPr>
                <w:b w:val="0"/>
                <w:bCs w:val="0"/>
                <w:sz w:val="18"/>
                <w:szCs w:val="18"/>
              </w:rPr>
            </w:pPr>
            <w:r>
              <w:rPr>
                <w:b w:val="0"/>
                <w:bCs w:val="0"/>
                <w:sz w:val="18"/>
                <w:szCs w:val="18"/>
              </w:rPr>
              <w:t>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河北卫人人力资源开发有限公司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asciiTheme="minorEastAsia" w:hAnsiTheme="minorEastAsia" w:eastAsiaTheme="minorEastAsia"/>
                <w:b w:val="0"/>
                <w:bCs w:val="0"/>
                <w:sz w:val="21"/>
                <w:szCs w:val="21"/>
              </w:rPr>
              <w:t>石家庄新华区中华北大街298号颐宏大厦02单元2010</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ascii="宋体" w:hAnsi="宋体"/>
                <w:b/>
                <w:color w:val="000000"/>
                <w:sz w:val="20"/>
                <w:szCs w:val="20"/>
              </w:rPr>
              <w:t>邮编</w:t>
            </w: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asciiTheme="minorEastAsia" w:hAnsiTheme="minorEastAsia" w:eastAsiaTheme="minorEastAsia"/>
                <w:b w:val="0"/>
                <w:bCs w:val="0"/>
                <w:sz w:val="21"/>
                <w:szCs w:val="21"/>
              </w:rPr>
              <w:t>石家庄新华区中华北大街298号颐宏大厦02单元2010</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b w:val="0"/>
                <w:bCs w:val="0"/>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kern w:val="2"/>
                <w:sz w:val="21"/>
                <w:szCs w:val="21"/>
                <w:lang w:val="en-US" w:eastAsia="zh-CN" w:bidi="ar-SA"/>
              </w:rPr>
            </w:pPr>
            <w:r>
              <w:rPr>
                <w:b w:val="0"/>
                <w:bCs w:val="0"/>
                <w:sz w:val="21"/>
                <w:szCs w:val="21"/>
              </w:rPr>
              <w:t>李玲</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13331369776</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b w:val="0"/>
                <w:bCs w:val="0"/>
                <w:kern w:val="2"/>
                <w:sz w:val="21"/>
                <w:szCs w:val="21"/>
                <w:lang w:val="en-US" w:eastAsia="zh-CN" w:bidi="ar-SA"/>
              </w:rPr>
            </w:pPr>
            <w:r>
              <w:rPr>
                <w:rFonts w:hint="eastAsia"/>
                <w:b w:val="0"/>
                <w:bCs w:val="0"/>
                <w:sz w:val="21"/>
                <w:szCs w:val="21"/>
                <w:lang w:val="en-US" w:eastAsia="zh-CN"/>
              </w:rPr>
              <w:t>孔文文</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李玲</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b w:val="0"/>
                <w:bCs w:val="0"/>
                <w:sz w:val="18"/>
                <w:szCs w:val="18"/>
              </w:rPr>
              <w:t>304065272@qq.com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8013" w:type="dxa"/>
            <w:gridSpan w:val="9"/>
          </w:tcPr>
          <w:p>
            <w:pPr>
              <w:keepNext w:val="0"/>
              <w:keepLines w:val="0"/>
              <w:pageBreakBefore w:val="0"/>
              <w:kinsoku/>
              <w:wordWrap/>
              <w:overflowPunct/>
              <w:topLinePunct w:val="0"/>
              <w:autoSpaceDE/>
              <w:autoSpaceDN/>
              <w:bidi w:val="0"/>
              <w:adjustRightInd/>
              <w:snapToGrid/>
              <w:spacing w:line="360" w:lineRule="exact"/>
              <w:textAlignment w:val="auto"/>
              <w:rPr>
                <w:b w:val="0"/>
                <w:bCs w:val="0"/>
                <w:sz w:val="21"/>
                <w:szCs w:val="21"/>
              </w:rPr>
            </w:pPr>
            <w:bookmarkStart w:id="1" w:name="审核范围"/>
            <w:r>
              <w:rPr>
                <w:b w:val="0"/>
                <w:bCs w:val="0"/>
                <w:sz w:val="21"/>
                <w:szCs w:val="21"/>
              </w:rPr>
              <w:t>Q：劳务派遣服务、人力资源管理咨询、人力资源测评、人力资源培训、人力资源管理服务外包、人力资源信息网络服务（限许可范围内），档案整理</w:t>
            </w:r>
          </w:p>
          <w:p>
            <w:pPr>
              <w:keepNext w:val="0"/>
              <w:keepLines w:val="0"/>
              <w:pageBreakBefore w:val="0"/>
              <w:kinsoku/>
              <w:wordWrap/>
              <w:overflowPunct/>
              <w:topLinePunct w:val="0"/>
              <w:autoSpaceDE/>
              <w:autoSpaceDN/>
              <w:bidi w:val="0"/>
              <w:adjustRightInd/>
              <w:snapToGrid/>
              <w:spacing w:line="360" w:lineRule="exact"/>
              <w:textAlignment w:val="auto"/>
              <w:rPr>
                <w:b w:val="0"/>
                <w:bCs w:val="0"/>
                <w:sz w:val="21"/>
                <w:szCs w:val="21"/>
              </w:rPr>
            </w:pPr>
            <w:r>
              <w:rPr>
                <w:b w:val="0"/>
                <w:bCs w:val="0"/>
                <w:sz w:val="21"/>
                <w:szCs w:val="21"/>
              </w:rPr>
              <w:t>E：劳务派遣服务、人力资源管理咨询、人力资源测评、人力资源培训、人力资源管理服务外包、人力资源信息网络服务（限许可范围内），档案整理及其相关环境管理活动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b w:val="0"/>
                <w:bCs w:val="0"/>
                <w:sz w:val="21"/>
                <w:szCs w:val="21"/>
              </w:rPr>
              <w:t>O：劳务派遣服务、人力资源管理咨询、人力资源测评、人力资源培训、人力资源管理服务外包、人力资源信息网络服务（限许可范围内），档案整理及其相关职业健康安全管理活动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b w:val="0"/>
                <w:bCs w:val="0"/>
                <w:sz w:val="21"/>
                <w:szCs w:val="21"/>
              </w:rPr>
              <w:t>35.09.00,35.10.00,35.11.00,35.18.01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2019年8月10日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管理层</w:t>
            </w:r>
          </w:p>
        </w:tc>
        <w:tc>
          <w:tcPr>
            <w:tcW w:w="7960" w:type="dxa"/>
          </w:tcPr>
          <w:p>
            <w:pPr>
              <w:spacing w:line="240" w:lineRule="exact"/>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4.1/4.2/4.3/4.4/5.1.1/5.1.2/5.2/5.3/6.1/6.2/6.3/7.1/9.1.1/9.3/10.1/10.3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rPr>
              <w:t>办公室</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rPr>
            </w:pPr>
            <w:r>
              <w:rPr>
                <w:rFonts w:hint="eastAsia"/>
                <w:sz w:val="21"/>
                <w:szCs w:val="21"/>
              </w:rPr>
              <w:t>Q</w:t>
            </w:r>
            <w:r>
              <w:rPr>
                <w:rFonts w:hint="eastAsia"/>
                <w:sz w:val="21"/>
                <w:szCs w:val="21"/>
                <w:lang w:val="en-US" w:eastAsia="zh-CN"/>
              </w:rPr>
              <w:t>5.3/6.2/</w:t>
            </w:r>
            <w:r>
              <w:rPr>
                <w:rFonts w:hint="eastAsia"/>
                <w:sz w:val="21"/>
                <w:szCs w:val="21"/>
              </w:rPr>
              <w:t>7.1.2/7.1.6/7.2/7.3/7.4/7.5/8.</w:t>
            </w:r>
            <w:r>
              <w:rPr>
                <w:rFonts w:hint="eastAsia"/>
                <w:sz w:val="21"/>
                <w:szCs w:val="21"/>
                <w:lang w:val="en-US" w:eastAsia="zh-CN"/>
              </w:rPr>
              <w:t>4</w:t>
            </w:r>
            <w:r>
              <w:rPr>
                <w:rFonts w:hint="eastAsia"/>
                <w:sz w:val="21"/>
                <w:szCs w:val="21"/>
              </w:rPr>
              <w:t>/</w:t>
            </w:r>
            <w:r>
              <w:rPr>
                <w:rFonts w:hint="eastAsia"/>
                <w:sz w:val="21"/>
                <w:szCs w:val="21"/>
                <w:lang w:val="en-US" w:eastAsia="zh-CN"/>
              </w:rPr>
              <w:t>9.2/</w:t>
            </w:r>
            <w:r>
              <w:rPr>
                <w:rFonts w:hint="eastAsia"/>
                <w:sz w:val="21"/>
                <w:szCs w:val="21"/>
              </w:rPr>
              <w:t>10.2</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O5.3/6.2/</w:t>
            </w:r>
            <w:r>
              <w:rPr>
                <w:rFonts w:hint="eastAsia"/>
                <w:sz w:val="21"/>
                <w:szCs w:val="21"/>
              </w:rPr>
              <w:t>6.1.2/6.1.3/7.2/7.3/7.4/7.5/8.1/8.2/9.1/9.2/10.2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z w:val="20"/>
                <w:szCs w:val="20"/>
              </w:rPr>
            </w:pPr>
            <w:r>
              <w:rPr>
                <w:rFonts w:hint="eastAsia"/>
                <w:sz w:val="21"/>
                <w:szCs w:val="21"/>
                <w:lang w:val="en-US" w:eastAsia="zh-CN"/>
              </w:rPr>
              <w:t>市场</w:t>
            </w:r>
            <w:r>
              <w:rPr>
                <w:rFonts w:hint="eastAsia"/>
                <w:sz w:val="21"/>
                <w:szCs w:val="21"/>
              </w:rPr>
              <w:t>部</w:t>
            </w:r>
          </w:p>
        </w:tc>
        <w:tc>
          <w:tcPr>
            <w:tcW w:w="7960" w:type="dxa"/>
          </w:tcPr>
          <w:p>
            <w:pPr>
              <w:keepNext w:val="0"/>
              <w:keepLines w:val="0"/>
              <w:pageBreakBefore w:val="0"/>
              <w:widowControl w:val="0"/>
              <w:kinsoku/>
              <w:wordWrap/>
              <w:overflowPunct/>
              <w:topLinePunct w:val="0"/>
              <w:autoSpaceDE/>
              <w:autoSpaceDN/>
              <w:bidi w:val="0"/>
              <w:spacing w:line="240" w:lineRule="exact"/>
              <w:jc w:val="both"/>
              <w:textAlignment w:val="auto"/>
              <w:rPr>
                <w:rFonts w:hint="eastAsia"/>
                <w:sz w:val="21"/>
                <w:szCs w:val="21"/>
                <w:lang w:eastAsia="zh-CN"/>
              </w:rPr>
            </w:pPr>
            <w:r>
              <w:rPr>
                <w:rFonts w:hint="eastAsia"/>
                <w:sz w:val="21"/>
                <w:szCs w:val="21"/>
              </w:rPr>
              <w:t>Q5.3/6.2/7.1.3/7.1.4/7.1.5/8.1/8.</w:t>
            </w:r>
            <w:r>
              <w:rPr>
                <w:rFonts w:hint="eastAsia"/>
                <w:sz w:val="21"/>
                <w:szCs w:val="21"/>
                <w:lang w:val="en-US" w:eastAsia="zh-CN"/>
              </w:rPr>
              <w:t>2</w:t>
            </w:r>
            <w:r>
              <w:rPr>
                <w:rFonts w:hint="eastAsia"/>
                <w:sz w:val="21"/>
                <w:szCs w:val="21"/>
              </w:rPr>
              <w:t>/</w:t>
            </w:r>
            <w:r>
              <w:rPr>
                <w:rFonts w:hint="eastAsia"/>
                <w:sz w:val="21"/>
                <w:szCs w:val="21"/>
                <w:lang w:val="en-US" w:eastAsia="zh-CN"/>
              </w:rPr>
              <w:t>8.3/</w:t>
            </w:r>
            <w:r>
              <w:rPr>
                <w:rFonts w:hint="eastAsia"/>
                <w:sz w:val="21"/>
                <w:szCs w:val="21"/>
              </w:rPr>
              <w:t>8.5.2/8.5.</w:t>
            </w:r>
            <w:r>
              <w:rPr>
                <w:rFonts w:hint="eastAsia"/>
                <w:sz w:val="21"/>
                <w:szCs w:val="21"/>
                <w:lang w:val="en-US" w:eastAsia="zh-CN"/>
              </w:rPr>
              <w:t>3</w:t>
            </w:r>
            <w:r>
              <w:rPr>
                <w:rFonts w:hint="eastAsia"/>
                <w:sz w:val="21"/>
                <w:szCs w:val="21"/>
              </w:rPr>
              <w:t>/8.5.</w:t>
            </w:r>
            <w:r>
              <w:rPr>
                <w:rFonts w:hint="eastAsia"/>
                <w:sz w:val="21"/>
                <w:szCs w:val="21"/>
                <w:lang w:val="en-US" w:eastAsia="zh-CN"/>
              </w:rPr>
              <w:t>4</w:t>
            </w:r>
            <w:r>
              <w:rPr>
                <w:rFonts w:hint="eastAsia"/>
                <w:sz w:val="21"/>
                <w:szCs w:val="21"/>
              </w:rPr>
              <w:t>/8.5.</w:t>
            </w:r>
            <w:r>
              <w:rPr>
                <w:rFonts w:hint="eastAsia"/>
                <w:sz w:val="21"/>
                <w:szCs w:val="21"/>
                <w:lang w:val="en-US" w:eastAsia="zh-CN"/>
              </w:rPr>
              <w:t>5</w:t>
            </w:r>
            <w:r>
              <w:rPr>
                <w:rFonts w:hint="eastAsia"/>
                <w:sz w:val="21"/>
                <w:szCs w:val="21"/>
              </w:rPr>
              <w:t>/8.5.6</w:t>
            </w:r>
            <w:r>
              <w:rPr>
                <w:rFonts w:hint="eastAsia"/>
                <w:sz w:val="21"/>
                <w:szCs w:val="21"/>
                <w:lang w:val="en-US" w:eastAsia="zh-CN"/>
              </w:rPr>
              <w:t>/</w:t>
            </w:r>
            <w:r>
              <w:rPr>
                <w:rFonts w:hint="eastAsia"/>
                <w:sz w:val="21"/>
                <w:szCs w:val="21"/>
              </w:rPr>
              <w:t>9.1.2</w:t>
            </w:r>
            <w:r>
              <w:rPr>
                <w:rFonts w:hint="eastAsia"/>
                <w:sz w:val="21"/>
                <w:szCs w:val="21"/>
                <w:lang w:eastAsia="zh-CN"/>
              </w:rPr>
              <w:t>；</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hint="eastAsia" w:ascii="宋体" w:hAnsi="宋体" w:eastAsia="宋体"/>
                <w:b/>
                <w:color w:val="000000" w:themeColor="text1"/>
                <w:sz w:val="20"/>
                <w:szCs w:val="20"/>
                <w:lang w:val="en-US" w:eastAsia="zh-CN"/>
              </w:rPr>
            </w:pPr>
            <w:r>
              <w:rPr>
                <w:rFonts w:hint="eastAsia" w:cs="Times New Roman"/>
                <w:sz w:val="21"/>
                <w:szCs w:val="21"/>
                <w:lang w:val="en-US" w:eastAsia="zh-CN"/>
              </w:rPr>
              <w:t>培训部</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lang w:eastAsia="zh-CN"/>
              </w:rPr>
            </w:pPr>
            <w:r>
              <w:rPr>
                <w:rFonts w:hint="eastAsia"/>
                <w:sz w:val="21"/>
                <w:szCs w:val="21"/>
              </w:rPr>
              <w:t>Q 5.3/6.2/8.5.1/8.6/8.7</w:t>
            </w:r>
            <w:r>
              <w:rPr>
                <w:rFonts w:hint="eastAsia"/>
                <w:sz w:val="21"/>
                <w:szCs w:val="21"/>
                <w:lang w:eastAsia="zh-CN"/>
              </w:rPr>
              <w:t>；</w:t>
            </w:r>
          </w:p>
          <w:p>
            <w:pPr>
              <w:spacing w:line="240" w:lineRule="exact"/>
              <w:rPr>
                <w:rFonts w:ascii="宋体" w:hAnsi="宋体"/>
                <w:b/>
                <w:color w:val="000000" w:themeColor="text1"/>
                <w:spacing w:val="-20"/>
                <w:sz w:val="20"/>
                <w:szCs w:val="20"/>
                <w:u w:val="single"/>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hint="default" w:cs="Times New Roman"/>
                <w:sz w:val="21"/>
                <w:szCs w:val="21"/>
                <w:lang w:val="en-US" w:eastAsia="zh-CN"/>
              </w:rPr>
            </w:pPr>
            <w:r>
              <w:rPr>
                <w:rFonts w:hint="eastAsia" w:cs="Times New Roman"/>
                <w:sz w:val="21"/>
                <w:szCs w:val="21"/>
                <w:lang w:val="en-US" w:eastAsia="zh-CN"/>
              </w:rPr>
              <w:t>客服部</w:t>
            </w:r>
          </w:p>
        </w:tc>
        <w:tc>
          <w:tcPr>
            <w:tcW w:w="7960" w:type="dxa"/>
          </w:tcPr>
          <w:p>
            <w:pPr>
              <w:keepNext w:val="0"/>
              <w:keepLines w:val="0"/>
              <w:pageBreakBefore w:val="0"/>
              <w:widowControl w:val="0"/>
              <w:kinsoku/>
              <w:wordWrap/>
              <w:overflowPunct/>
              <w:topLinePunct w:val="0"/>
              <w:autoSpaceDE/>
              <w:autoSpaceDN/>
              <w:bidi w:val="0"/>
              <w:spacing w:line="240" w:lineRule="exact"/>
              <w:textAlignment w:val="auto"/>
              <w:rPr>
                <w:rFonts w:hint="eastAsia"/>
                <w:sz w:val="21"/>
                <w:szCs w:val="21"/>
                <w:lang w:eastAsia="zh-CN"/>
              </w:rPr>
            </w:pPr>
            <w:r>
              <w:rPr>
                <w:rFonts w:hint="eastAsia"/>
                <w:sz w:val="21"/>
                <w:szCs w:val="21"/>
              </w:rPr>
              <w:t>Q 5.3/6.2/8.5.1/8.6/8.7</w:t>
            </w:r>
            <w:r>
              <w:rPr>
                <w:rFonts w:hint="eastAsia"/>
                <w:sz w:val="21"/>
                <w:szCs w:val="21"/>
                <w:lang w:eastAsia="zh-CN"/>
              </w:rPr>
              <w:t>；</w:t>
            </w:r>
          </w:p>
          <w:p>
            <w:pPr>
              <w:spacing w:line="240" w:lineRule="exact"/>
              <w:rPr>
                <w:rFonts w:hint="eastAsia"/>
                <w:sz w:val="21"/>
                <w:szCs w:val="21"/>
              </w:rPr>
            </w:pPr>
            <w:r>
              <w:rPr>
                <w:rFonts w:hint="eastAsia"/>
                <w:sz w:val="21"/>
                <w:szCs w:val="21"/>
              </w:rPr>
              <w:t>E</w:t>
            </w:r>
            <w:r>
              <w:rPr>
                <w:rFonts w:hint="eastAsia"/>
                <w:sz w:val="21"/>
                <w:szCs w:val="21"/>
                <w:lang w:val="en-US" w:eastAsia="zh-CN"/>
              </w:rPr>
              <w:t>O</w:t>
            </w:r>
            <w:r>
              <w:rPr>
                <w:rFonts w:hint="eastAsia"/>
                <w:sz w:val="21"/>
                <w:szCs w:val="21"/>
              </w:rPr>
              <w:t>5.3/6.2/6.1.2/8.1</w:t>
            </w:r>
            <w:r>
              <w:rPr>
                <w:rFonts w:hint="eastAsia"/>
                <w:sz w:val="21"/>
                <w:szCs w:val="21"/>
                <w:lang w:val="en-US" w:eastAsia="zh-CN"/>
              </w:rPr>
              <w:t>/</w:t>
            </w:r>
            <w:r>
              <w:rPr>
                <w:rFonts w:hint="eastAsia"/>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708"/>
        <w:gridCol w:w="1392"/>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708"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92" w:type="dxa"/>
          </w:tcPr>
          <w:p>
            <w:pPr>
              <w:rPr>
                <w:b/>
                <w:color w:val="000000" w:themeColor="text1"/>
                <w:sz w:val="20"/>
                <w:szCs w:val="20"/>
              </w:rPr>
            </w:pPr>
            <w:r>
              <w:rPr>
                <w:rFonts w:hint="eastAsia"/>
                <w:b/>
                <w:color w:val="000000" w:themeColor="text1"/>
                <w:sz w:val="20"/>
                <w:szCs w:val="20"/>
              </w:rPr>
              <w:t>规格</w:t>
            </w:r>
          </w:p>
        </w:tc>
        <w:tc>
          <w:tcPr>
            <w:tcW w:w="324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1"/>
                <w:szCs w:val="21"/>
              </w:rPr>
            </w:pPr>
            <w:r>
              <w:rPr>
                <w:b w:val="0"/>
                <w:bCs w:val="0"/>
                <w:sz w:val="21"/>
                <w:szCs w:val="21"/>
              </w:rPr>
              <w:t>劳务派遣服务、人力资源管理咨询、人力资源测评、人力资源培训、人力资源管理服务外包、人力资源信息网络服务（限许可范围内），档案整理</w:t>
            </w:r>
          </w:p>
        </w:tc>
        <w:tc>
          <w:tcPr>
            <w:tcW w:w="1708" w:type="dxa"/>
            <w:vAlign w:val="top"/>
          </w:tcPr>
          <w:p>
            <w:pPr>
              <w:rPr>
                <w:rFonts w:hint="default" w:eastAsia="宋体"/>
                <w:b/>
                <w:color w:val="000000" w:themeColor="text1"/>
                <w:sz w:val="21"/>
                <w:szCs w:val="21"/>
                <w:lang w:val="en-US" w:eastAsia="zh-CN"/>
              </w:rPr>
            </w:pPr>
            <w:r>
              <w:rPr>
                <w:rFonts w:hint="eastAsia"/>
                <w:b/>
                <w:color w:val="000000" w:themeColor="text1"/>
                <w:sz w:val="20"/>
                <w:szCs w:val="20"/>
                <w:lang w:val="en-US" w:eastAsia="zh-CN"/>
              </w:rPr>
              <w:t>人力资源服务</w:t>
            </w:r>
          </w:p>
        </w:tc>
        <w:tc>
          <w:tcPr>
            <w:tcW w:w="1392" w:type="dxa"/>
            <w:vAlign w:val="top"/>
          </w:tcPr>
          <w:p>
            <w:pPr>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3244" w:type="dxa"/>
            <w:vAlign w:val="top"/>
          </w:tcPr>
          <w:p>
            <w:pPr>
              <w:rPr>
                <w:b/>
                <w:color w:val="000000" w:themeColor="text1"/>
                <w:sz w:val="21"/>
                <w:szCs w:val="21"/>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cs="宋体"/>
              </w:rPr>
              <w:t>管理方针：</w:t>
            </w:r>
          </w:p>
          <w:p>
            <w:pPr>
              <w:rPr>
                <w:rFonts w:hint="eastAsia" w:cs="宋体"/>
                <w:szCs w:val="22"/>
              </w:rPr>
            </w:pPr>
            <w:r>
              <w:rPr>
                <w:rFonts w:hint="eastAsia" w:cs="宋体"/>
                <w:szCs w:val="22"/>
              </w:rPr>
              <w:t>坚持服务质量第一，确保增进顾客满意；</w:t>
            </w:r>
          </w:p>
          <w:p>
            <w:pPr>
              <w:rPr>
                <w:rFonts w:hint="eastAsia" w:cs="宋体"/>
                <w:szCs w:val="22"/>
              </w:rPr>
            </w:pPr>
            <w:r>
              <w:rPr>
                <w:rFonts w:hint="eastAsia" w:cs="宋体"/>
                <w:szCs w:val="22"/>
              </w:rPr>
              <w:t>坚持遵守法律法规，实现环保安全目标；</w:t>
            </w:r>
          </w:p>
          <w:p>
            <w:pPr>
              <w:keepNext w:val="0"/>
              <w:keepLines w:val="0"/>
              <w:pageBreakBefore w:val="0"/>
              <w:kinsoku/>
              <w:wordWrap/>
              <w:overflowPunct/>
              <w:topLinePunct w:val="0"/>
              <w:bidi w:val="0"/>
              <w:snapToGrid/>
              <w:spacing w:line="360" w:lineRule="exact"/>
              <w:textAlignment w:val="auto"/>
              <w:rPr>
                <w:rFonts w:hint="eastAsia" w:eastAsia="宋体"/>
                <w:lang w:val="en-US" w:eastAsia="zh-CN"/>
              </w:rPr>
            </w:pPr>
            <w:r>
              <w:rPr>
                <w:rFonts w:hint="eastAsia" w:cs="宋体"/>
                <w:szCs w:val="22"/>
              </w:rPr>
              <w:t>规范企业经营管理，持续改进管理体系。</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eastAsia="zh-CN"/>
              </w:rPr>
              <w:t>市场部紧密与客户沟通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业务洽谈</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业务洽谈，</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产品依据国标、行业标准、客户要求进行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p>
            <w:pPr>
              <w:keepNext w:val="0"/>
              <w:keepLines w:val="0"/>
              <w:pageBreakBefore w:val="0"/>
              <w:tabs>
                <w:tab w:val="left" w:pos="0"/>
              </w:tabs>
              <w:kinsoku/>
              <w:wordWrap/>
              <w:overflowPunct/>
              <w:topLinePunct w:val="0"/>
              <w:bidi w:val="0"/>
              <w:snapToGrid/>
              <w:spacing w:line="360" w:lineRule="exact"/>
              <w:textAlignment w:val="auto"/>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rPr>
            </w:pPr>
            <w:r>
              <w:rPr>
                <w:rFonts w:hint="eastAsia" w:ascii="Times New Roman" w:hAnsi="Times New Roman" w:cs="宋体"/>
              </w:rPr>
              <w:t>公司</w:t>
            </w:r>
            <w:r>
              <w:rPr>
                <w:rFonts w:hint="eastAsia" w:cs="宋体"/>
              </w:rPr>
              <w:t>质量目标</w:t>
            </w:r>
          </w:p>
          <w:p>
            <w:pPr>
              <w:rPr>
                <w:rFonts w:hint="eastAsia" w:cs="宋体"/>
              </w:rPr>
            </w:pPr>
            <w:r>
              <w:rPr>
                <w:rFonts w:hint="eastAsia" w:cs="宋体"/>
              </w:rPr>
              <w:t>1、顾客满意率≥90%；</w:t>
            </w:r>
          </w:p>
          <w:p>
            <w:pPr>
              <w:rPr>
                <w:rFonts w:hint="eastAsia" w:cs="宋体"/>
              </w:rPr>
            </w:pPr>
            <w:r>
              <w:rPr>
                <w:rFonts w:hint="eastAsia" w:cs="宋体"/>
              </w:rPr>
              <w:t>2、项目验收合格率100%</w:t>
            </w:r>
          </w:p>
          <w:p>
            <w:pPr>
              <w:rPr>
                <w:rFonts w:hint="eastAsia" w:cs="宋体"/>
              </w:rPr>
            </w:pPr>
            <w:r>
              <w:rPr>
                <w:rFonts w:hint="eastAsia" w:cs="宋体"/>
              </w:rPr>
              <w:t>环境目标、指标</w:t>
            </w:r>
          </w:p>
          <w:p>
            <w:pPr>
              <w:rPr>
                <w:rFonts w:hint="eastAsia" w:cs="宋体"/>
              </w:rPr>
            </w:pPr>
            <w:r>
              <w:rPr>
                <w:rFonts w:hint="eastAsia" w:cs="宋体"/>
              </w:rPr>
              <w:t>1、固体废弃物分类回收率100%，合理处置；</w:t>
            </w:r>
          </w:p>
          <w:p>
            <w:pPr>
              <w:rPr>
                <w:rFonts w:hint="eastAsia" w:cs="宋体"/>
              </w:rPr>
            </w:pPr>
            <w:r>
              <w:rPr>
                <w:rFonts w:hint="eastAsia" w:cs="宋体"/>
              </w:rPr>
              <w:t>2、杜绝火灾事故发生；</w:t>
            </w:r>
          </w:p>
          <w:p>
            <w:pPr>
              <w:rPr>
                <w:rFonts w:hint="eastAsia" w:cs="宋体"/>
              </w:rPr>
            </w:pPr>
            <w:r>
              <w:rPr>
                <w:rFonts w:hint="eastAsia" w:cs="宋体"/>
              </w:rPr>
              <w:t>职业健康安全目标、指标</w:t>
            </w:r>
          </w:p>
          <w:p>
            <w:pPr>
              <w:rPr>
                <w:rFonts w:hint="eastAsia" w:cs="宋体"/>
              </w:rPr>
            </w:pPr>
            <w:r>
              <w:rPr>
                <w:rFonts w:hint="eastAsia" w:cs="宋体"/>
              </w:rPr>
              <w:t>1、杜绝火灾事故发生；</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lang w:eastAsia="zh-CN"/>
              </w:rPr>
            </w:pPr>
            <w:r>
              <w:rPr>
                <w:rFonts w:hint="eastAsia" w:cs="宋体"/>
              </w:rPr>
              <w:t>2、杜绝职业病发生。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2019年</w:t>
            </w:r>
            <w:r>
              <w:rPr>
                <w:rFonts w:hint="eastAsia" w:cs="宋体"/>
                <w:lang w:val="en-US" w:eastAsia="zh-CN"/>
              </w:rPr>
              <w:t>4</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打印传阅，公司文件柜存放，电子版本在电脑桌机的桌面上，每个人均可查阅。外来文件电子版本在电脑桌机的桌面上，每个人均可查阅。记录管理：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12</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人力资源服务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施：电脑、电话、一体机、</w:t>
            </w:r>
            <w:r>
              <w:rPr>
                <w:rFonts w:hint="eastAsia"/>
                <w:sz w:val="21"/>
                <w:szCs w:val="21"/>
                <w:lang w:val="en-US" w:eastAsia="zh-CN"/>
              </w:rPr>
              <w:t>办公桌椅、展板、文件柜、</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3" w:name="生产地址"/>
            <w:r>
              <w:rPr>
                <w:rFonts w:asciiTheme="minorEastAsia" w:hAnsiTheme="minorEastAsia" w:eastAsiaTheme="minorEastAsia"/>
                <w:b w:val="0"/>
                <w:bCs w:val="0"/>
                <w:sz w:val="21"/>
                <w:szCs w:val="21"/>
              </w:rPr>
              <w:t>石家庄新华区中华北大街298号颐宏大厦02单元2010</w:t>
            </w:r>
            <w:bookmarkEnd w:id="3"/>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150平米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中华人民共和国就业促进法、就业服务与就业管理规定、人才市场管理规定、中华人民共和国劳动合同法实施条例、全国社会保障基金条例、社会保险费征缴暂行条例、失业保险条例、职工带薪年休假条例、残疾人就业条例、禁止使用童工规定、女职工劳动保护特别规定、工伤保险条例</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w:t>
            </w:r>
            <w:r>
              <w:rPr>
                <w:rFonts w:hint="eastAsia"/>
                <w:sz w:val="21"/>
                <w:szCs w:val="21"/>
                <w:lang w:val="en-US" w:eastAsia="zh-CN"/>
              </w:rPr>
              <w:t>ISO45001：2018</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numPr>
                <w:ilvl w:val="0"/>
                <w:numId w:val="4"/>
              </w:numPr>
              <w:rPr>
                <w:rFonts w:hint="eastAsia" w:cs="宋体"/>
                <w:szCs w:val="22"/>
              </w:rPr>
            </w:pPr>
            <w:r>
              <w:rPr>
                <w:rFonts w:hint="eastAsia" w:cs="宋体"/>
              </w:rPr>
              <w:t>管理方针：</w:t>
            </w:r>
            <w:r>
              <w:rPr>
                <w:rFonts w:hint="eastAsia" w:cs="宋体"/>
                <w:szCs w:val="22"/>
              </w:rPr>
              <w:t>坚持服务质量第一，确保增进顾客满意；坚持遵守法律法规，实现环保安全目标；</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szCs w:val="22"/>
              </w:rPr>
              <w:t>规范企业经营管理，持续改进管理体系。</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方正仿宋简体" w:eastAsia="方正仿宋简体"/>
                <w:b w:val="0"/>
                <w:bCs/>
                <w:lang w:val="en-US" w:eastAsia="zh-CN"/>
              </w:rPr>
              <w:t>抽查市场部2019年12月20日与石家庄蓝尔科技有限公司的“委托培训协议”，未能提供对该合同进行了评审的记录，已开具不符合报告，要求限期整改</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主要采购办公用品，</w:t>
            </w:r>
            <w:r>
              <w:rPr>
                <w:rFonts w:hint="eastAsia"/>
                <w:sz w:val="21"/>
                <w:szCs w:val="21"/>
              </w:rPr>
              <w:t>编制采购产品验收规范等作业文件规定采购产品质量要求；其次对供方进行了评价，</w:t>
            </w:r>
            <w:r>
              <w:rPr>
                <w:rFonts w:hint="eastAsia"/>
                <w:sz w:val="21"/>
                <w:szCs w:val="21"/>
                <w:lang w:val="en-US" w:eastAsia="zh-CN"/>
              </w:rPr>
              <w:t>对供方的评价全面，控制符合要求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根据国家法律法规要求、顾客要求，编制了《服务质量管理控制程序》、《</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回款制度》，由项目负责人组织人员、物资等资源进行相关服务：</w:t>
            </w:r>
            <w:r>
              <w:rPr>
                <w:rFonts w:hint="eastAsia"/>
                <w:sz w:val="21"/>
                <w:szCs w:val="21"/>
              </w:rPr>
              <w:t>劳务派遣服务、人力</w:t>
            </w:r>
            <w:r>
              <w:rPr>
                <w:b w:val="0"/>
                <w:bCs w:val="0"/>
                <w:sz w:val="21"/>
                <w:szCs w:val="21"/>
              </w:rPr>
              <w:t>资源管理咨询、人力资源测评、人力资源培训、人力资源管理服务外包、人力资源信息网络服务</w:t>
            </w:r>
            <w:r>
              <w:rPr>
                <w:rFonts w:hint="eastAsia"/>
                <w:b w:val="0"/>
                <w:bCs w:val="0"/>
                <w:sz w:val="21"/>
                <w:szCs w:val="21"/>
                <w:lang w:eastAsia="zh-CN"/>
              </w:rPr>
              <w:t>、</w:t>
            </w:r>
            <w:r>
              <w:rPr>
                <w:b w:val="0"/>
                <w:bCs w:val="0"/>
                <w:sz w:val="21"/>
                <w:szCs w:val="21"/>
              </w:rPr>
              <w:t>档案整理</w:t>
            </w:r>
            <w:r>
              <w:rPr>
                <w:rFonts w:hint="eastAsia"/>
                <w:b w:val="0"/>
                <w:bCs w:val="0"/>
                <w:sz w:val="21"/>
                <w:szCs w:val="21"/>
                <w:lang w:eastAsia="zh-CN"/>
              </w:rPr>
              <w:t>，</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w:t>
            </w:r>
            <w:bookmarkStart w:id="5" w:name="_GoBack"/>
            <w:bookmarkEnd w:id="5"/>
            <w:r>
              <w:rPr>
                <w:rFonts w:hint="eastAsia"/>
                <w:sz w:val="21"/>
                <w:szCs w:val="21"/>
              </w:rPr>
              <w:t>变更的控制：</w:t>
            </w:r>
            <w:r>
              <w:rPr>
                <w:rFonts w:hint="eastAsia"/>
                <w:sz w:val="21"/>
                <w:szCs w:val="21"/>
                <w:lang w:val="en-US" w:eastAsia="zh-CN"/>
              </w:rPr>
              <w:t>服务</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服务</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提供有固废处置记录、相关方告知书及发放记录、劳保用品发放记录。抽相关方，未能提供对客户——</w:t>
            </w:r>
            <w:r>
              <w:rPr>
                <w:rFonts w:hint="eastAsia" w:ascii="方正仿宋简体" w:eastAsia="方正仿宋简体"/>
                <w:b w:val="0"/>
                <w:bCs/>
                <w:lang w:val="en-US" w:eastAsia="zh-CN"/>
              </w:rPr>
              <w:t>石家庄蓝尔科技有限公司施加影响的证据。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但未能提供对客户——</w:t>
            </w:r>
            <w:r>
              <w:rPr>
                <w:rFonts w:hint="eastAsia" w:ascii="方正仿宋简体" w:eastAsia="方正仿宋简体"/>
                <w:b w:val="0"/>
                <w:bCs/>
                <w:lang w:val="en-US" w:eastAsia="zh-CN"/>
              </w:rPr>
              <w:t>石家庄蓝尔科技有限公司施加影响的证据。</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提供了文件化可分解的目标、指标，经查问分解到各部门，经查阅建立的管理目标符合标准要求，在方针的框架下展开，每季度考核一次，查看201</w:t>
            </w:r>
            <w:r>
              <w:rPr>
                <w:rFonts w:hint="eastAsia"/>
                <w:sz w:val="21"/>
                <w:szCs w:val="21"/>
                <w:lang w:val="en-US" w:eastAsia="zh-CN"/>
              </w:rPr>
              <w:t>9</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201</w:t>
            </w:r>
            <w:r>
              <w:rPr>
                <w:rFonts w:hint="eastAsia"/>
                <w:lang w:val="en-US" w:eastAsia="zh-CN"/>
              </w:rPr>
              <w:t>9年11月15-16日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2019</w:t>
            </w:r>
            <w:r>
              <w:rPr>
                <w:rFonts w:hint="eastAsia" w:cs="宋体"/>
              </w:rPr>
              <w:t>年</w:t>
            </w:r>
            <w:r>
              <w:rPr>
                <w:rFonts w:hint="eastAsia" w:cs="宋体"/>
                <w:lang w:val="en-US" w:eastAsia="zh-CN"/>
              </w:rPr>
              <w:t>12</w:t>
            </w:r>
            <w:r>
              <w:rPr>
                <w:rFonts w:hint="eastAsia" w:cs="宋体"/>
              </w:rPr>
              <w:t>月</w:t>
            </w:r>
            <w:r>
              <w:rPr>
                <w:rFonts w:hint="eastAsia" w:cs="宋体"/>
                <w:lang w:val="en-US" w:eastAsia="zh-CN"/>
              </w:rPr>
              <w:t>1</w:t>
            </w:r>
            <w:r>
              <w:rPr>
                <w:rFonts w:hint="eastAsia"/>
                <w:lang w:val="en-US" w:eastAsia="zh-CN"/>
              </w:rPr>
              <w:t>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积极开展新的服务模式。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Cs w:val="21"/>
              </w:r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市场部</w:t>
      </w:r>
      <w:r>
        <w:rPr>
          <w:rFonts w:hint="eastAsia"/>
          <w:b/>
          <w:color w:val="000000" w:themeColor="text1"/>
        </w:rPr>
        <w:t>的GB/T19001-2016标准的</w:t>
      </w:r>
      <w:r>
        <w:rPr>
          <w:rFonts w:hint="eastAsia"/>
          <w:b/>
          <w:color w:val="000000" w:themeColor="text1"/>
          <w:lang w:val="en-US" w:eastAsia="zh-CN"/>
        </w:rPr>
        <w:t>8.2</w:t>
      </w:r>
      <w:r>
        <w:rPr>
          <w:rFonts w:hint="eastAsia"/>
          <w:b/>
          <w:color w:val="000000" w:themeColor="text1"/>
        </w:rPr>
        <w:t>.3条款，GB/T24001-2016标准的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ISO45001：2018</w:t>
      </w:r>
      <w:r>
        <w:rPr>
          <w:rFonts w:hint="eastAsia"/>
          <w:b/>
          <w:color w:val="000000" w:themeColor="text1"/>
        </w:rPr>
        <w:t>标准的</w:t>
      </w:r>
      <w:r>
        <w:rPr>
          <w:rFonts w:hint="eastAsia"/>
          <w:b/>
          <w:color w:val="000000" w:themeColor="text1"/>
          <w:lang w:val="en-US" w:eastAsia="zh-CN"/>
        </w:rPr>
        <w:t>8.1.1</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河北卫人人力资源开发有限公司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val="0"/>
                <w:bCs w:val="0"/>
                <w:sz w:val="21"/>
                <w:szCs w:val="21"/>
              </w:rPr>
            </w:pPr>
            <w:r>
              <w:rPr>
                <w:b w:val="0"/>
                <w:bCs w:val="0"/>
                <w:sz w:val="21"/>
                <w:szCs w:val="21"/>
              </w:rPr>
              <w:t>Q：劳务派遣服务、人力资源管理咨询、人力资源测评、人力资源培训、人力资源管理服务外包 、人力资源信息网络服务（限许可范围内），档案整理</w:t>
            </w:r>
          </w:p>
          <w:p>
            <w:pPr>
              <w:rPr>
                <w:b w:val="0"/>
                <w:bCs w:val="0"/>
                <w:sz w:val="21"/>
                <w:szCs w:val="21"/>
              </w:rPr>
            </w:pPr>
            <w:r>
              <w:rPr>
                <w:b w:val="0"/>
                <w:bCs w:val="0"/>
                <w:sz w:val="21"/>
                <w:szCs w:val="21"/>
              </w:rPr>
              <w:t>E：劳务派遣服务、人力资源管理咨询、人力资源测评、人力资源培训、人力资源管理服务外包 、人力资源信息网络服务（限许可范围内），档案整理及其相关环境管理活动</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sz w:val="24"/>
                <w:lang w:val="en-US" w:eastAsia="zh-CN"/>
              </w:rPr>
            </w:pPr>
            <w:r>
              <w:rPr>
                <w:b w:val="0"/>
                <w:bCs w:val="0"/>
                <w:sz w:val="21"/>
                <w:szCs w:val="21"/>
              </w:rPr>
              <w:t>O：劳务派遣服务、人力资源管理咨询、人力资源测评、人力资源培训、人力资源管理服务外包 、人力资源信息网络服务（限许可范围内），档案整理及其相关职业健康安全管理活动</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hint="eastAsia"/>
          <w:b/>
          <w:color w:val="000000" w:themeColor="text1"/>
          <w:sz w:val="26"/>
          <w:szCs w:val="26"/>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drawing>
          <wp:anchor distT="0" distB="0" distL="114300" distR="114300" simplePos="0" relativeHeight="251670528" behindDoc="0" locked="0" layoutInCell="1" allowOverlap="1">
            <wp:simplePos x="0" y="0"/>
            <wp:positionH relativeFrom="column">
              <wp:posOffset>1649730</wp:posOffset>
            </wp:positionH>
            <wp:positionV relativeFrom="paragraph">
              <wp:posOffset>167640</wp:posOffset>
            </wp:positionV>
            <wp:extent cx="841375" cy="417830"/>
            <wp:effectExtent l="0" t="0" r="9525" b="1270"/>
            <wp:wrapNone/>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841375" cy="417830"/>
                    </a:xfrm>
                    <a:prstGeom prst="rect">
                      <a:avLst/>
                    </a:prstGeom>
                    <a:noFill/>
                    <a:ln>
                      <a:noFill/>
                    </a:ln>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 xml:space="preserve">    3</w:t>
      </w:r>
      <w:r>
        <w:rPr>
          <w:rFonts w:hint="eastAsia"/>
          <w:b/>
          <w:color w:val="000000" w:themeColor="text1"/>
          <w:szCs w:val="21"/>
        </w:rPr>
        <w:t>月</w:t>
      </w:r>
      <w:r>
        <w:rPr>
          <w:rFonts w:hint="eastAsia"/>
          <w:b/>
          <w:color w:val="000000" w:themeColor="text1"/>
          <w:szCs w:val="21"/>
          <w:lang w:val="en-US" w:eastAsia="zh-CN"/>
        </w:rPr>
        <w:t xml:space="preserve">   11</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10"/>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10"/>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AEAD5E4E"/>
    <w:multiLevelType w:val="singleLevel"/>
    <w:tmpl w:val="AEAD5E4E"/>
    <w:lvl w:ilvl="0" w:tentative="0">
      <w:start w:val="1"/>
      <w:numFmt w:val="decimal"/>
      <w:lvlText w:val="%1."/>
      <w:lvlJc w:val="left"/>
      <w:pPr>
        <w:tabs>
          <w:tab w:val="left" w:pos="312"/>
        </w:tabs>
      </w:pPr>
    </w:lvl>
  </w:abstractNum>
  <w:abstractNum w:abstractNumId="3">
    <w:nsid w:val="C74FEE95"/>
    <w:multiLevelType w:val="singleLevel"/>
    <w:tmpl w:val="C74FEE95"/>
    <w:lvl w:ilvl="0" w:tentative="0">
      <w:start w:val="2"/>
      <w:numFmt w:val="decimal"/>
      <w:suff w:val="nothing"/>
      <w:lvlText w:val="%1、"/>
      <w:lvlJc w:val="left"/>
    </w:lvl>
  </w:abstractNum>
  <w:abstractNum w:abstractNumId="4">
    <w:nsid w:val="04016EC4"/>
    <w:multiLevelType w:val="singleLevel"/>
    <w:tmpl w:val="04016EC4"/>
    <w:lvl w:ilvl="0" w:tentative="0">
      <w:start w:val="2"/>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7BC294AD"/>
    <w:multiLevelType w:val="singleLevel"/>
    <w:tmpl w:val="7BC294AD"/>
    <w:lvl w:ilvl="0" w:tentative="0">
      <w:start w:val="5"/>
      <w:numFmt w:val="decimal"/>
      <w:suff w:val="space"/>
      <w:lvlText w:val="%1."/>
      <w:lvlJc w:val="left"/>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9"/>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16390561"/>
    <w:rsid w:val="1C440198"/>
    <w:rsid w:val="21611269"/>
    <w:rsid w:val="22DF6A1C"/>
    <w:rsid w:val="3AFE3AFE"/>
    <w:rsid w:val="3C6210A8"/>
    <w:rsid w:val="41311C61"/>
    <w:rsid w:val="4A927D7E"/>
    <w:rsid w:val="4B4A3A22"/>
    <w:rsid w:val="4EBE37BE"/>
    <w:rsid w:val="57A97EAC"/>
    <w:rsid w:val="58BD1AE1"/>
    <w:rsid w:val="5CDD1C2D"/>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3"/>
    <w:qFormat/>
    <w:uiPriority w:val="99"/>
    <w:rPr>
      <w:rFonts w:ascii="Times New Roman" w:hAnsi="Times New Roman" w:eastAsia="宋体" w:cs="Times New Roman"/>
      <w:sz w:val="18"/>
      <w:szCs w:val="18"/>
    </w:rPr>
  </w:style>
  <w:style w:type="character" w:customStyle="1" w:styleId="14">
    <w:name w:val="批注框文本 Char"/>
    <w:basedOn w:val="9"/>
    <w:link w:val="2"/>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20</TotalTime>
  <ScaleCrop>false</ScaleCrop>
  <LinksUpToDate>false</LinksUpToDate>
  <CharactersWithSpaces>9674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2020-03-14T12:19:39Z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