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20385-2023-QE</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宁晋县润禾装饰材料厂</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姜海军</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92130528MA08FNDQ4R</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E:未认可,Q:未认可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E：GB/T 24001-2016/ISO14001:2015,Q：GB/T19001-2016/ISO9001:2015</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宁晋县润禾装饰材料厂</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宁晋县耿庄桥镇耿赵庄村</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宁晋县耿庄桥镇耿赵庄村</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E：内墙腻子粉、石膏粉的生产销售所涉及场所的相关环境管理活动</w:t>
            </w:r>
          </w:p>
          <w:p w:rsidR="00F1039B">
            <w:pPr>
              <w:snapToGrid w:val="0"/>
              <w:spacing w:line="0" w:lineRule="atLeast"/>
              <w:jc w:val="left"/>
              <w:rPr>
                <w:sz w:val="21"/>
                <w:szCs w:val="21"/>
                <w:lang w:val="en-GB"/>
              </w:rPr>
            </w:pPr>
            <w:r>
              <w:rPr>
                <w:sz w:val="21"/>
                <w:szCs w:val="21"/>
                <w:lang w:val="en-GB"/>
              </w:rPr>
              <w:t>Q：内墙腻子粉、石膏粉的生产销售</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宁晋县润禾装饰材料厂</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宁晋县耿庄桥镇耿赵庄村</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宁晋县耿庄桥镇耿赵庄村</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E：内墙腻子粉、石膏粉的生产销售所涉及场所的相关环境管理活动</w:t>
            </w:r>
          </w:p>
          <w:p w:rsidR="00E9533D" w:rsidP="00E9533D">
            <w:pPr>
              <w:snapToGrid w:val="0"/>
              <w:spacing w:line="0" w:lineRule="atLeast"/>
              <w:jc w:val="left"/>
              <w:rPr>
                <w:sz w:val="21"/>
                <w:szCs w:val="21"/>
                <w:lang w:val="en-GB"/>
              </w:rPr>
            </w:pPr>
            <w:r>
              <w:rPr>
                <w:sz w:val="21"/>
                <w:szCs w:val="21"/>
                <w:lang w:val="en-GB"/>
              </w:rPr>
              <w:t>Q：内墙腻子粉、石膏粉的生产销售</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r w:rsidRPr="00F1039B">
        <w:rPr>
          <w:bCs/>
          <w:color w:val="000000" w:themeColor="text1"/>
          <w:sz w:val="21"/>
          <w:szCs w:val="21"/>
        </w:rPr>
        <w:t>E:,Q:</w:t>
      </w:r>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宁晋县耿庄桥镇耿赵庄村</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