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80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外恩企业管理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2PX5834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四川外恩企业管理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成都市金牛区王贾路19号3栋1层4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成都市青羊区光华西三路577号26栋411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建筑工程机械设备租赁；客车、小微型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设备租赁；客车、小微型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设备租赁；客车、小微型客车租赁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四川外恩企业管理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成都市金牛区王贾路19号3栋1层4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成都市青羊区光华西三路577号26栋411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建筑工程机械设备租赁；客车、小微型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设备租赁；客车、小微型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设备租赁；客车、小微型客车租赁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