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0"/>
        <w:gridCol w:w="130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成都空御科技有限公司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E：29.09.01;33.02.01;33.02.04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O：29.09.01;33.02.01;33.02.04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E：29.09.01;33.02.01;33.02.04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O：29.09.01;33.02.01;33.02.04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E:33.02.01,33.02.04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O:33.02.01,33.02.04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产品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研发、销售</w:t>
            </w:r>
            <w:r>
              <w:rPr>
                <w:rFonts w:hint="eastAsia"/>
                <w:szCs w:val="21"/>
                <w:highlight w:val="none"/>
              </w:rPr>
              <w:t>流程图: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客户需求分析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—— 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功能设计</w:t>
            </w:r>
            <w:r>
              <w:rPr>
                <w:rFonts w:hint="eastAsia"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系统设计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—— 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功能测试</w:t>
            </w:r>
            <w:r>
              <w:rPr>
                <w:rFonts w:hint="eastAsia"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系统测试</w:t>
            </w:r>
            <w:r>
              <w:rPr>
                <w:rFonts w:hint="eastAsia" w:ascii="宋体" w:hAnsi="宋体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交付客户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设计、测试</w:t>
            </w:r>
            <w:r>
              <w:rPr>
                <w:rFonts w:hint="eastAsia" w:ascii="宋体" w:hAnsi="宋体"/>
                <w:szCs w:val="21"/>
                <w:highlight w:val="none"/>
              </w:rPr>
              <w:t>为关键过程。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/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固废、噪声和潜在火灾，采取分类收集、管理方案和预案措施管理。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火灾、</w:t>
            </w:r>
            <w:r>
              <w:rPr>
                <w:rFonts w:hint="eastAsia"/>
                <w:sz w:val="20"/>
                <w:lang w:eastAsia="zh-CN"/>
              </w:rPr>
              <w:t>触电、</w:t>
            </w:r>
            <w:r>
              <w:rPr>
                <w:rFonts w:hint="eastAsia"/>
                <w:sz w:val="20"/>
              </w:rPr>
              <w:t>机械伤害，采取制定管理方案控制，潜在火灾采取应急预案并演练方式进行控制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/>
                <w:sz w:val="21"/>
                <w:szCs w:val="21"/>
              </w:rPr>
              <w:t>服务和售后服务质量的监控等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eastAsia="zh-CN"/>
        </w:rPr>
        <w:t>杨珍全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2020.2.21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 w:hAnsi="Times New Roman" w:cs="Times New Roman"/>
          <w:b/>
          <w:sz w:val="22"/>
          <w:szCs w:val="22"/>
          <w:lang w:eastAsia="zh-CN"/>
        </w:rPr>
        <w:t>杨珍全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2020.2.21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1C7DE1"/>
    <w:rsid w:val="567D1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2020-02-20T08:21:51Z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