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成都空御科技有限公司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0044-2020-EO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张政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15503232345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E：无人机探测反制系统、无线电监测系统、要地防护系统、反无人机防御系统、无人机系统设计开发、销售、技术服务所涉及的相关环境管理活动</w:t>
            </w:r>
          </w:p>
          <w:p>
            <w:r>
              <w:t>O：无人机探测反制系统、无线电监测系统、要地防护系统、反无人机防御系统、无人机系统设计开发、销售、技术服务所涉及的相关职业健康安全管理活动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E：29.09.01;33.02.01;33.02.04</w:t>
            </w:r>
          </w:p>
          <w:p>
            <w:r>
              <w:t>O：29.09.01;33.02.01;33.02.04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24001-2016idtISO 14001:2015,O：ISO 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2020年02月20日 上午至2020年02月20日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E:29.09.01,33.02.01,33.02.04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O:29.09.01,33.02.01,33.02.04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2020.2.19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jc w:val="left"/>
        <w:rPr>
          <w:rFonts w:hint="eastAsia" w:eastAsia="隶书"/>
          <w:sz w:val="30"/>
          <w:szCs w:val="30"/>
          <w:lang w:eastAsia="zh-CN"/>
        </w:rPr>
      </w:pPr>
      <w:r>
        <w:rPr>
          <w:rFonts w:hint="eastAsia" w:eastAsia="隶书"/>
          <w:sz w:val="30"/>
          <w:szCs w:val="30"/>
          <w:lang w:eastAsia="zh-CN"/>
        </w:rPr>
        <w:t>附表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20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bookmarkStart w:id="14" w:name="_GoBack"/>
            <w:bookmarkEnd w:id="14"/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/>
                <w:sz w:val="21"/>
                <w:szCs w:val="21"/>
              </w:rPr>
              <w:t xml:space="preserve">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/>
                <w:sz w:val="21"/>
                <w:szCs w:val="21"/>
              </w:rPr>
              <w:t>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/>
                <w:sz w:val="21"/>
                <w:szCs w:val="21"/>
              </w:rPr>
              <w:t>确认方针、目标的制定与实施状况；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/>
                <w:sz w:val="21"/>
                <w:szCs w:val="21"/>
              </w:rPr>
              <w:t>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/>
                <w:sz w:val="21"/>
                <w:szCs w:val="21"/>
              </w:rPr>
              <w:t>了解为第二阶段审核所需资源的配置情况；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9、</w:t>
            </w:r>
            <w:r>
              <w:rPr>
                <w:rFonts w:hint="eastAsia"/>
                <w:sz w:val="21"/>
                <w:szCs w:val="21"/>
              </w:rPr>
              <w:t>确定管理层二阶段审核的重点。</w:t>
            </w: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10、</w:t>
            </w:r>
            <w:r>
              <w:rPr>
                <w:rFonts w:hint="eastAsia"/>
                <w:sz w:val="21"/>
                <w:szCs w:val="21"/>
              </w:rPr>
              <w:t>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11、</w:t>
            </w:r>
            <w:r>
              <w:rPr>
                <w:rFonts w:hint="eastAsia"/>
                <w:sz w:val="21"/>
                <w:szCs w:val="21"/>
              </w:rPr>
              <w:t>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12、</w:t>
            </w:r>
            <w:r>
              <w:rPr>
                <w:rFonts w:hint="eastAsia"/>
                <w:sz w:val="21"/>
                <w:szCs w:val="21"/>
              </w:rPr>
              <w:t>适用法律法规、技术标准识别的充分性，收集合规性的证据。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13、</w:t>
            </w:r>
            <w:r>
              <w:rPr>
                <w:rFonts w:hint="eastAsia"/>
                <w:sz w:val="21"/>
                <w:szCs w:val="21"/>
              </w:rPr>
              <w:t>核实、确认受审核方各相关部门提供的相关信息（重点是资质、资格、产品范围、人数、规模、场所等）</w:t>
            </w: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14.对生产设备、环保设备、特种设备及监视测量设备的现场巡视了解和确认。</w:t>
            </w: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15.了解环境因素和危险源的识别、评价等控制情况</w:t>
            </w: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16.了解对合规性及应急预案等情况的执行。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D326FF"/>
    <w:rsid w:val="193B5E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5</TotalTime>
  <ScaleCrop>false</ScaleCrop>
  <LinksUpToDate>false</LinksUpToDate>
  <CharactersWithSpaces>1267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2020-02-21T07:01:09Z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