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10330-2023-EI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坤泰家具有限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03MA35HY7R89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GB/T 31950-2023企业诚信管理体系 要求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江西坤泰家具有限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江西省赣州市南康区镜坝镇连城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江西省赣州市南康区唐江家具集聚区工业园1号厂房66单元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人造板家具、实木家具、钢木家具、金属家具、软体家具、智能家具、医养家具（资质范围除外）的生产、销售所涉及的诚信管理活动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江西坤泰家具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江西省赣州市南康区镜坝镇连城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江西省赣州市南康区唐江家具集聚区工业园1号厂房66单元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人造板家具、实木家具、钢木家具、金属家具、软体家具、智能家具、医养家具（资质范围除外）的生产、销售所涉及的诚信管理活动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