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0036-2020-Q</w:t>
      </w:r>
      <w:bookmarkEnd w:id="0"/>
    </w:p>
    <w:p>
      <w:pPr>
        <w:pStyle w:val="5"/>
        <w:jc w:val="left"/>
        <w:rPr>
          <w:color w:val="000000"/>
        </w:rPr>
      </w:pP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jc w:val="both"/>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重庆卡茂包装制品有限公司</w:t>
      </w:r>
      <w:bookmarkEnd w:id="1"/>
    </w:p>
    <w:p>
      <w:pPr>
        <w:snapToGrid w:val="0"/>
        <w:spacing w:after="94" w:afterLines="30"/>
        <w:ind w:firstLine="964" w:firstLineChars="300"/>
        <w:rPr>
          <w:rFonts w:hint="eastAsia" w:ascii="楷体" w:hAnsi="楷体" w:eastAsia="楷体"/>
          <w:b/>
          <w:color w:val="000000"/>
          <w:sz w:val="32"/>
          <w:szCs w:val="32"/>
        </w:rPr>
      </w:pPr>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lang w:eastAsia="zh-CN"/>
        </w:rPr>
        <w:t>☑</w:t>
      </w:r>
      <w:r>
        <w:rPr>
          <w:rFonts w:hint="eastAsia"/>
          <w:b/>
          <w:color w:val="000000"/>
          <w:spacing w:val="-10"/>
          <w:szCs w:val="21"/>
          <w:lang w:val="en-US" w:eastAsia="zh-CN"/>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宋体"/>
          <w:b/>
          <w:color w:val="000000"/>
          <w:sz w:val="26"/>
          <w:szCs w:val="26"/>
        </w:rPr>
      </w:pPr>
      <w:r>
        <w:rPr>
          <w:rFonts w:hint="eastAsia" w:asciiTheme="minorEastAsia" w:hAnsiTheme="minorEastAsia" w:eastAsiaTheme="minorEastAsia"/>
          <w:b/>
          <w:color w:val="000000"/>
          <w:sz w:val="28"/>
          <w:szCs w:val="28"/>
        </w:rPr>
        <w:t>网址：www.china-isc.org.cn</w:t>
      </w: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07.02.05,14.02.02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rFonts w:hint="eastAsia" w:eastAsia="宋体"/>
                <w:b/>
                <w:color w:val="000000"/>
                <w:sz w:val="20"/>
                <w:szCs w:val="20"/>
                <w:lang w:eastAsia="zh-CN"/>
              </w:rPr>
            </w:pPr>
          </w:p>
        </w:tc>
        <w:tc>
          <w:tcPr>
            <w:tcW w:w="851" w:type="dxa"/>
            <w:gridSpan w:val="2"/>
            <w:vAlign w:val="center"/>
          </w:tcPr>
          <w:p>
            <w:pPr>
              <w:rPr>
                <w:rFonts w:hint="eastAsia" w:eastAsia="宋体"/>
                <w:b/>
                <w:color w:val="000000"/>
                <w:sz w:val="20"/>
                <w:szCs w:val="20"/>
                <w:lang w:eastAsia="zh-CN"/>
              </w:rPr>
            </w:pPr>
          </w:p>
        </w:tc>
        <w:tc>
          <w:tcPr>
            <w:tcW w:w="1417" w:type="dxa"/>
            <w:gridSpan w:val="2"/>
            <w:vAlign w:val="center"/>
          </w:tcPr>
          <w:p>
            <w:pPr>
              <w:rPr>
                <w:rFonts w:hint="eastAsia" w:eastAsia="宋体"/>
                <w:b/>
                <w:color w:val="000000"/>
                <w:sz w:val="20"/>
                <w:szCs w:val="20"/>
                <w:lang w:eastAsia="zh-CN"/>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lang w:eastAsia="zh-CN"/>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lang w:eastAsia="zh-CN"/>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lang w:eastAsia="zh-CN"/>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重庆卡茂包装制品有限公司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重庆市南岸区黄桷垭镇金竹村龙井榜组</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400065</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重庆巴南区南泉街道红旗村六组</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400056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余长峰</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023-62766867</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唐飞</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余长峰</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纸箱包装、塑料包装的加工（许可范围内除外）</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07.02.05;14.02.02</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45" w:firstLineChars="10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w:t>
      </w:r>
      <w:r>
        <w:rPr>
          <w:rFonts w:hint="eastAsia" w:ascii="宋体" w:hAnsi="宋体"/>
          <w:b/>
          <w:color w:val="000000"/>
          <w:spacing w:val="-2"/>
          <w:sz w:val="20"/>
          <w:szCs w:val="20"/>
          <w:lang w:eastAsia="zh-CN"/>
        </w:rPr>
        <w:t>件</w:t>
      </w:r>
      <w:r>
        <w:rPr>
          <w:rFonts w:hint="eastAsia" w:ascii="宋体" w:hAnsi="宋体"/>
          <w:b/>
          <w:color w:val="000000"/>
          <w:spacing w:val="-2"/>
          <w:sz w:val="20"/>
          <w:szCs w:val="20"/>
        </w:rPr>
        <w:t>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cs="Times New Roman"/>
          <w:b/>
          <w:color w:val="000000"/>
          <w:sz w:val="20"/>
          <w:szCs w:val="20"/>
          <w:u w:val="single"/>
          <w:lang w:eastAsia="zh-CN"/>
        </w:rPr>
        <w:t>办公室</w:t>
      </w:r>
      <w:r>
        <w:rPr>
          <w:rFonts w:hint="eastAsia" w:ascii="宋体" w:hAnsi="Times New Roman" w:cs="Times New Roman"/>
          <w:b/>
          <w:color w:val="000000"/>
          <w:sz w:val="20"/>
          <w:szCs w:val="20"/>
          <w:u w:val="single"/>
          <w:lang w:eastAsia="zh-CN"/>
        </w:rPr>
        <w:t>、生产部、市场部</w:t>
      </w:r>
      <w:r>
        <w:rPr>
          <w:rFonts w:hint="eastAsia" w:ascii="宋体" w:hAnsi="Times New Roman" w:cs="Times New Roman"/>
          <w:b/>
          <w:color w:val="000000"/>
          <w:sz w:val="20"/>
          <w:szCs w:val="20"/>
          <w:u w:val="single"/>
        </w:rPr>
        <w:t xml:space="preserve">       </w:t>
      </w:r>
      <w:r>
        <w:rPr>
          <w:rFonts w:hint="eastAsia" w:ascii="宋体" w:hAnsi="宋体"/>
          <w:szCs w:val="21"/>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Times New Roman" w:cs="Times New Roman"/>
          <w:b/>
          <w:color w:val="000000"/>
          <w:sz w:val="20"/>
          <w:szCs w:val="20"/>
          <w:u w:val="single"/>
          <w:lang w:eastAsia="zh-CN"/>
        </w:rPr>
        <w:t xml:space="preserve">  </w:t>
      </w:r>
      <w:bookmarkStart w:id="17" w:name="生产地址"/>
      <w:r>
        <w:rPr>
          <w:rFonts w:hint="eastAsia" w:ascii="宋体" w:hAnsi="Times New Roman" w:cs="Times New Roman"/>
          <w:b/>
          <w:color w:val="000000"/>
          <w:sz w:val="20"/>
          <w:szCs w:val="20"/>
          <w:u w:val="single"/>
          <w:lang w:eastAsia="zh-CN"/>
        </w:rPr>
        <w:t>重庆巴南区南泉街道红旗村六组</w:t>
      </w:r>
      <w:bookmarkEnd w:id="17"/>
      <w:r>
        <w:rPr>
          <w:rFonts w:hint="eastAsia" w:ascii="宋体" w:hAnsi="Times New Roman" w:cs="Times New Roman"/>
          <w:b/>
          <w:color w:val="000000"/>
          <w:sz w:val="20"/>
          <w:szCs w:val="20"/>
          <w:u w:val="single"/>
          <w:lang w:eastAsia="zh-CN"/>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5</w:t>
            </w:r>
            <w:r>
              <w:rPr>
                <w:rFonts w:hint="eastAsia" w:ascii="宋体" w:hAnsi="宋体"/>
                <w:color w:val="000000" w:themeColor="text1"/>
                <w:sz w:val="20"/>
                <w:szCs w:val="20"/>
                <w14:textFill>
                  <w14:solidFill>
                    <w14:schemeClr w14:val="tx1"/>
                  </w14:solidFill>
                </w14:textFill>
              </w:rPr>
              <w:t>）是否有特殊过程</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b/>
                <w:szCs w:val="21"/>
              </w:rPr>
            </w:pPr>
            <w:r>
              <w:rPr>
                <w:rFonts w:hint="eastAsia" w:ascii="宋体" w:hAnsi="宋体"/>
                <w:b/>
                <w:color w:val="000000"/>
                <w:sz w:val="20"/>
                <w:szCs w:val="20"/>
              </w:rPr>
              <w:t>产品</w:t>
            </w:r>
            <w:r>
              <w:rPr>
                <w:rFonts w:hint="eastAsia" w:ascii="宋体" w:hAnsi="宋体"/>
                <w:b/>
                <w:color w:val="000000"/>
                <w:sz w:val="20"/>
                <w:szCs w:val="20"/>
                <w:lang w:eastAsia="zh-CN"/>
              </w:rPr>
              <w:t>：</w:t>
            </w:r>
            <w:r>
              <w:rPr>
                <w:rFonts w:hint="eastAsia" w:ascii="宋体" w:hAnsi="宋体"/>
                <w:szCs w:val="21"/>
              </w:rPr>
              <w:t>纸箱包装、塑料包装的加工（许可范围内除外）</w:t>
            </w:r>
          </w:p>
          <w:p>
            <w:pPr>
              <w:tabs>
                <w:tab w:val="left" w:pos="360"/>
              </w:tabs>
              <w:ind w:left="360" w:hanging="360"/>
              <w:rPr>
                <w:rFonts w:hint="eastAsia"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cs="Times New Roman"/>
                <w:b/>
                <w:color w:val="000000"/>
                <w:sz w:val="20"/>
                <w:szCs w:val="20"/>
              </w:rPr>
            </w:pPr>
            <w:r>
              <w:rPr>
                <w:rFonts w:hint="eastAsia" w:ascii="宋体" w:hAnsi="宋体"/>
                <w:b/>
                <w:color w:val="000000"/>
                <w:sz w:val="20"/>
                <w:szCs w:val="20"/>
              </w:rPr>
              <w:t>公司部门设置：</w:t>
            </w:r>
            <w:r>
              <w:rPr>
                <w:rFonts w:hint="eastAsia" w:ascii="宋体" w:hAnsi="宋体" w:cs="Times New Roman"/>
                <w:b/>
                <w:color w:val="000000"/>
                <w:sz w:val="20"/>
                <w:szCs w:val="20"/>
                <w:lang w:eastAsia="zh-CN"/>
              </w:rPr>
              <w:t>办公室、生产部、市场部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办公室</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质量管理部门：生</w:t>
            </w:r>
            <w:r>
              <w:rPr>
                <w:rFonts w:hint="eastAsia" w:ascii="宋体" w:hAnsi="宋体"/>
                <w:b/>
                <w:color w:val="000000"/>
                <w:sz w:val="20"/>
                <w:szCs w:val="20"/>
                <w:lang w:eastAsia="zh-CN"/>
              </w:rPr>
              <w:t>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t>重庆巴南区南泉街道红旗村六组</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FF"/>
                <w:sz w:val="20"/>
                <w:szCs w:val="20"/>
              </w:rPr>
            </w:pPr>
            <w:r>
              <w:rPr>
                <w:rFonts w:hint="eastAsia" w:ascii="宋体" w:hAnsi="宋体"/>
                <w:color w:val="000000"/>
                <w:sz w:val="20"/>
                <w:szCs w:val="20"/>
              </w:rPr>
              <w:t xml:space="preserve">其使用的建筑设施是：□自建办公用房    □自建厂房   □租用办公用房 </w:t>
            </w:r>
            <w:r>
              <w:rPr>
                <w:rFonts w:hint="eastAsia" w:ascii="宋体" w:hAnsi="宋体"/>
                <w:color w:val="0000FF"/>
                <w:sz w:val="20"/>
                <w:szCs w:val="20"/>
              </w:rPr>
              <w:t xml:space="preserve">  </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受审核方现场是否属于高风险地区   □是  </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受审核方现场周边是否具有危险性场所，如化工厂、加油站等  □有  </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14:textFill>
                  <w14:solidFill>
                    <w14:schemeClr w14:val="tx1"/>
                  </w14:solidFill>
                </w14:textFill>
              </w:rPr>
              <w:t>运作方式：</w:t>
            </w:r>
            <w:r>
              <w:rPr>
                <w:rFonts w:hint="eastAsia" w:ascii="宋体"/>
                <w:color w:val="000000" w:themeColor="text1"/>
                <w:sz w:val="20"/>
                <w:szCs w:val="20"/>
                <w:lang w:eastAsia="zh-CN"/>
                <w14:textFill>
                  <w14:solidFill>
                    <w14:schemeClr w14:val="tx1"/>
                  </w14:solidFill>
                </w14:textFill>
              </w:rPr>
              <w:t>☑</w:t>
            </w:r>
            <w:r>
              <w:rPr>
                <w:rFonts w:hint="eastAsia" w:ascii="宋体"/>
                <w:color w:val="000000" w:themeColor="text1"/>
                <w:sz w:val="20"/>
                <w:szCs w:val="20"/>
                <w14:textFill>
                  <w14:solidFill>
                    <w14:schemeClr w14:val="tx1"/>
                  </w14:solidFill>
                </w14:textFill>
              </w:rPr>
              <w:t xml:space="preserve">白班生产  </w:t>
            </w:r>
            <w:r>
              <w:rPr>
                <w:rFonts w:hint="eastAsia"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hAnsi="宋体"/>
                <w:color w:val="000000" w:themeColor="text1"/>
                <w:sz w:val="20"/>
                <w:szCs w:val="20"/>
                <w:lang w:val="en-US" w:eastAsia="zh-CN"/>
                <w14:textFill>
                  <w14:solidFill>
                    <w14:schemeClr w14:val="tx1"/>
                  </w14:solidFill>
                </w14:textFill>
              </w:rPr>
            </w:pPr>
            <w:r>
              <w:rPr>
                <w:rFonts w:hint="eastAsia" w:ascii="宋体" w:hAnsi="宋体"/>
                <w:color w:val="000000"/>
                <w:sz w:val="20"/>
                <w:szCs w:val="20"/>
              </w:rPr>
              <w:t>□产品技术标准号</w:t>
            </w:r>
            <w:r>
              <w:rPr>
                <w:rFonts w:hint="eastAsia" w:ascii="宋体" w:hAnsi="宋体"/>
                <w:color w:val="000000" w:themeColor="text1"/>
                <w:sz w:val="20"/>
                <w:szCs w:val="20"/>
                <w14:textFill>
                  <w14:solidFill>
                    <w14:schemeClr w14:val="tx1"/>
                  </w14:solidFill>
                </w14:textFill>
              </w:rPr>
              <w:t>：</w:t>
            </w:r>
            <w:r>
              <w:rPr>
                <w:rFonts w:hint="eastAsia" w:ascii="宋体" w:hAnsi="宋体"/>
                <w:color w:val="000000" w:themeColor="text1"/>
                <w:sz w:val="20"/>
                <w:szCs w:val="20"/>
                <w:lang w:val="en-US" w:eastAsia="zh-CN"/>
                <w14:textFill>
                  <w14:solidFill>
                    <w14:schemeClr w14:val="tx1"/>
                  </w14:solidFill>
                </w14:textFill>
              </w:rPr>
              <w:t>运输包装用单瓦楞纸箱和双瓦楞纸箱GB/T6543-2008、包装塑料薄膜GB4456-2008</w:t>
            </w:r>
          </w:p>
          <w:p>
            <w:pPr>
              <w:ind w:left="-1" w:leftChars="-1" w:hanging="1"/>
              <w:jc w:val="left"/>
              <w:rPr>
                <w:rFonts w:hint="eastAsia" w:ascii="宋体" w:hAnsi="宋体"/>
                <w:color w:val="000000"/>
                <w:sz w:val="20"/>
                <w:szCs w:val="20"/>
                <w:lang w:val="en-US" w:eastAsia="zh-CN"/>
              </w:rPr>
            </w:pPr>
          </w:p>
          <w:p>
            <w:pPr>
              <w:ind w:left="-1" w:leftChars="-1" w:hanging="1"/>
              <w:jc w:val="left"/>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14:textFill>
                  <w14:solidFill>
                    <w14:schemeClr w14:val="tx1"/>
                  </w14:solidFill>
                </w14:textFill>
              </w:rPr>
            </w:pPr>
            <w:r>
              <w:rPr>
                <w:rFonts w:hint="eastAsia" w:ascii="宋体" w:hAnsi="宋体"/>
                <w:color w:val="000000" w:themeColor="text1"/>
                <w:sz w:val="20"/>
                <w:szCs w:val="20"/>
                <w:lang w:val="en-US" w:eastAsia="zh-CN"/>
                <w14:textFill>
                  <w14:solidFill>
                    <w14:schemeClr w14:val="tx1"/>
                  </w14:solidFill>
                </w14:textFill>
              </w:rPr>
              <w:t>现场是否有产品检验报告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14:textFill>
                  <w14:solidFill>
                    <w14:schemeClr w14:val="tx1"/>
                  </w14:solidFill>
                </w14:textFill>
              </w:rPr>
            </w:pPr>
            <w:r>
              <w:rPr>
                <w:rFonts w:hint="eastAsia" w:ascii="宋体" w:hAnsi="宋体"/>
                <w:color w:val="000000" w:themeColor="text1"/>
                <w:sz w:val="20"/>
                <w:szCs w:val="20"/>
                <w:lang w:val="en-US" w:eastAsia="zh-CN"/>
                <w14:textFill>
                  <w14:solidFill>
                    <w14:schemeClr w14:val="tx1"/>
                  </w14:solidFill>
                </w14:textFill>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纸箱的加工工艺流程</w:t>
            </w:r>
            <w:r>
              <w:rPr>
                <w:rFonts w:hint="eastAsia" w:ascii="宋体" w:hAnsi="宋体"/>
                <w:szCs w:val="22"/>
                <w:lang w:val="en-US" w:eastAsia="zh-CN"/>
              </w:rPr>
              <w:t>：</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原材料检验——成型（开槽、模切）——装订（粘接、装订）——检验——包装——入库。</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成型（开槽、模切）为关键过程。</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塑料包装的加工</w:t>
            </w:r>
            <w:r>
              <w:rPr>
                <w:rFonts w:hint="eastAsia" w:ascii="宋体" w:hAnsi="宋体"/>
                <w:szCs w:val="22"/>
                <w:lang w:val="en-US" w:eastAsia="zh-CN"/>
              </w:rPr>
              <w:t>工艺流程：</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来料检验（原料为客户来料加工）→吹气→检验</w:t>
            </w:r>
          </w:p>
          <w:p>
            <w:pPr>
              <w:spacing w:line="360" w:lineRule="auto"/>
              <w:rPr>
                <w:rFonts w:ascii="宋体"/>
                <w:color w:val="000000"/>
                <w:sz w:val="20"/>
                <w:szCs w:val="20"/>
              </w:rPr>
            </w:pPr>
            <w:r>
              <w:rPr>
                <w:rFonts w:hint="eastAsia" w:ascii="宋体" w:hAnsi="宋体" w:eastAsia="宋体"/>
                <w:szCs w:val="22"/>
                <w:lang w:val="en-US" w:eastAsia="zh-CN"/>
              </w:rPr>
              <w:t>需确认/特殊过程：无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关键过程有：</w:t>
            </w:r>
            <w:r>
              <w:rPr>
                <w:rFonts w:hint="eastAsia" w:ascii="宋体" w:hAnsi="宋体" w:eastAsia="宋体"/>
                <w:color w:val="000000" w:themeColor="text1"/>
                <w:szCs w:val="22"/>
                <w:lang w:val="en-US" w:eastAsia="zh-CN"/>
                <w14:textFill>
                  <w14:solidFill>
                    <w14:schemeClr w14:val="tx1"/>
                  </w14:solidFill>
                </w14:textFill>
              </w:rPr>
              <w:t>成型（开槽、模切）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针对关键过程建立的控制文件有</w:t>
            </w:r>
            <w:r>
              <w:rPr>
                <w:rFonts w:hint="eastAsia" w:ascii="宋体" w:hAnsi="宋体" w:cs="Times New Roman"/>
                <w:color w:val="000000" w:themeColor="text1"/>
                <w:spacing w:val="-10"/>
                <w:sz w:val="20"/>
                <w:szCs w:val="20"/>
                <w14:textFill>
                  <w14:solidFill>
                    <w14:schemeClr w14:val="tx1"/>
                  </w14:solidFill>
                </w14:textFill>
              </w:rPr>
              <w:t>：生产</w:t>
            </w:r>
            <w:r>
              <w:rPr>
                <w:rFonts w:hint="eastAsia" w:ascii="宋体" w:hAnsi="宋体" w:cs="Times New Roman"/>
                <w:color w:val="000000" w:themeColor="text1"/>
                <w:spacing w:val="-10"/>
                <w:sz w:val="20"/>
                <w:szCs w:val="20"/>
                <w:lang w:eastAsia="zh-CN"/>
                <w14:textFill>
                  <w14:solidFill>
                    <w14:schemeClr w14:val="tx1"/>
                  </w14:solidFill>
                </w14:textFill>
              </w:rPr>
              <w:t>过程</w:t>
            </w:r>
            <w:r>
              <w:rPr>
                <w:rFonts w:hint="eastAsia" w:ascii="宋体" w:hAnsi="宋体" w:cs="Times New Roman"/>
                <w:color w:val="000000" w:themeColor="text1"/>
                <w:spacing w:val="-10"/>
                <w:sz w:val="20"/>
                <w:szCs w:val="20"/>
                <w14:textFill>
                  <w14:solidFill>
                    <w14:schemeClr w14:val="tx1"/>
                  </w14:solidFill>
                </w14:textFill>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需要确认过程：</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是否明确了过程的确认方法</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否是否明确了过程的确认准则□是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外包过程有：</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是否明确了外包过程的控制方法</w:t>
            </w:r>
            <w:r>
              <w:rPr>
                <w:rFonts w:hint="eastAsia" w:ascii="宋体" w:hAnsi="宋体" w:cs="Times New Roman"/>
                <w:color w:val="000000" w:themeColor="text1"/>
                <w:spacing w:val="-10"/>
                <w:sz w:val="20"/>
                <w:szCs w:val="20"/>
                <w14:textFill>
                  <w14:solidFill>
                    <w14:schemeClr w14:val="tx1"/>
                  </w14:solidFill>
                </w14:textFill>
              </w:rPr>
              <w:t>：供方控制程序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主要设备：</w:t>
            </w:r>
            <w:r>
              <w:rPr>
                <w:rFonts w:hint="eastAsia" w:ascii="宋体" w:hAnsi="宋体"/>
                <w:color w:val="000000" w:themeColor="text1"/>
                <w:szCs w:val="21"/>
                <w:lang w:val="en-US" w:eastAsia="zh-CN"/>
                <w14:textFill>
                  <w14:solidFill>
                    <w14:schemeClr w14:val="tx1"/>
                  </w14:solidFill>
                </w14:textFill>
              </w:rPr>
              <w:t>电脑及办公设备、开槽机、模切机、打钉机、打包机等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 xml:space="preserve">设备是否满足要求                 </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特种设备：</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 xml:space="preserve">特种设备是否按规定检定            </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监视和测量设备（请简述主要监视和测量设备）：</w:t>
            </w:r>
            <w:r>
              <w:rPr>
                <w:rFonts w:hint="eastAsia" w:ascii="宋体" w:hAnsi="宋体"/>
                <w:color w:val="000000" w:themeColor="text1"/>
                <w:szCs w:val="21"/>
                <w:lang w:eastAsia="zh-CN"/>
                <w14:textFill>
                  <w14:solidFill>
                    <w14:schemeClr w14:val="tx1"/>
                  </w14:solidFill>
                </w14:textFill>
              </w:rPr>
              <w:t>电子秤、压缩强度试验机、钢卷尺、</w:t>
            </w:r>
            <w:r>
              <w:rPr>
                <w:rFonts w:hint="eastAsia" w:ascii="宋体" w:hAnsi="宋体"/>
                <w:color w:val="000000" w:themeColor="text1"/>
                <w:szCs w:val="21"/>
                <w14:textFill>
                  <w14:solidFill>
                    <w14:schemeClr w14:val="tx1"/>
                  </w14:solidFill>
                </w14:textFill>
              </w:rPr>
              <w:t>游标卡尺</w:t>
            </w:r>
            <w:r>
              <w:rPr>
                <w:rFonts w:hint="eastAsia" w:ascii="宋体" w:hAnsi="宋体"/>
                <w:color w:val="000000" w:themeColor="text1"/>
                <w:spacing w:val="-10"/>
                <w:sz w:val="20"/>
                <w:szCs w:val="20"/>
                <w:lang w:val="en-US" w:eastAsia="zh-CN"/>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 xml:space="preserve">检测设备是否满足要求              </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 xml:space="preserve">是 </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w:t>
            </w:r>
            <w:r>
              <w:rPr>
                <w:rFonts w:hint="eastAsia" w:ascii="宋体" w:hAnsi="宋体"/>
                <w:color w:val="000000" w:themeColor="text1"/>
                <w:spacing w:val="-10"/>
                <w:sz w:val="20"/>
                <w:szCs w:val="20"/>
                <w:lang w:eastAsia="zh-CN"/>
                <w14:textFill>
                  <w14:solidFill>
                    <w14:schemeClr w14:val="tx1"/>
                  </w14:solidFill>
                </w14:textFill>
              </w:rPr>
              <w:t>（以上检具不能提供有效校验证书）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20</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w:t>
            </w:r>
            <w:r>
              <w:rPr>
                <w:rFonts w:hint="eastAsia" w:ascii="宋体" w:hAnsi="宋体"/>
                <w:b/>
                <w:color w:val="000000"/>
                <w:sz w:val="20"/>
                <w:szCs w:val="20"/>
                <w:lang w:eastAsia="zh-CN"/>
              </w:rPr>
              <w:t>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仿宋" w:hAnsi="仿宋" w:eastAsia="仿宋"/>
                <w:sz w:val="24"/>
              </w:rPr>
              <w:t>建立有《内部审核控制程序》，于</w:t>
            </w:r>
            <w:r>
              <w:rPr>
                <w:rFonts w:hint="eastAsia"/>
                <w:sz w:val="21"/>
                <w:szCs w:val="21"/>
              </w:rPr>
              <w:t>2019年</w:t>
            </w:r>
            <w:r>
              <w:rPr>
                <w:rFonts w:hint="eastAsia"/>
                <w:sz w:val="21"/>
                <w:szCs w:val="21"/>
                <w:lang w:val="en-US" w:eastAsia="zh-CN"/>
              </w:rPr>
              <w:t>12</w:t>
            </w:r>
            <w:r>
              <w:rPr>
                <w:rFonts w:hint="eastAsia"/>
                <w:sz w:val="21"/>
                <w:szCs w:val="21"/>
              </w:rPr>
              <w:t>月</w:t>
            </w:r>
            <w:r>
              <w:rPr>
                <w:rFonts w:hint="eastAsia"/>
                <w:sz w:val="21"/>
                <w:szCs w:val="21"/>
                <w:lang w:val="en-US" w:eastAsia="zh-CN"/>
              </w:rPr>
              <w:t>15</w:t>
            </w:r>
            <w:r>
              <w:rPr>
                <w:rFonts w:hint="eastAsia"/>
                <w:sz w:val="21"/>
                <w:szCs w:val="21"/>
              </w:rPr>
              <w:t>日</w:t>
            </w:r>
            <w:r>
              <w:rPr>
                <w:rFonts w:hint="eastAsia" w:ascii="仿宋" w:hAnsi="仿宋" w:eastAsia="仿宋"/>
                <w:sz w:val="24"/>
              </w:rPr>
              <w:t>进行了内部审核。内部审核组</w:t>
            </w:r>
            <w:r>
              <w:rPr>
                <w:rFonts w:hint="eastAsia" w:ascii="仿宋" w:hAnsi="仿宋" w:eastAsia="仿宋"/>
                <w:sz w:val="24"/>
                <w:lang w:eastAsia="zh-CN"/>
              </w:rPr>
              <w:t>组成</w:t>
            </w:r>
            <w:r>
              <w:rPr>
                <w:rFonts w:hint="eastAsia" w:ascii="仿宋" w:hAnsi="仿宋" w:eastAsia="仿宋"/>
                <w:sz w:val="24"/>
              </w:rPr>
              <w:t>：</w:t>
            </w:r>
            <w:r>
              <w:rPr>
                <w:rFonts w:hint="eastAsia" w:ascii="仿宋" w:hAnsi="仿宋" w:eastAsia="仿宋"/>
                <w:sz w:val="24"/>
                <w:lang w:val="en-US" w:eastAsia="zh-CN"/>
              </w:rPr>
              <w:t>师粮昌（生产部）  B组：余长峰（办公室）</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2019</w:t>
            </w:r>
            <w:r>
              <w:rPr>
                <w:rFonts w:hint="eastAsia" w:ascii="宋体" w:hAnsi="宋体"/>
                <w:kern w:val="0"/>
                <w:sz w:val="21"/>
                <w:szCs w:val="21"/>
              </w:rPr>
              <w:t>年</w:t>
            </w:r>
            <w:r>
              <w:rPr>
                <w:rFonts w:hint="eastAsia" w:ascii="宋体" w:hAnsi="宋体"/>
                <w:kern w:val="0"/>
                <w:sz w:val="21"/>
                <w:szCs w:val="21"/>
                <w:lang w:val="en-US" w:eastAsia="zh-CN"/>
              </w:rPr>
              <w:t>12</w:t>
            </w:r>
            <w:r>
              <w:rPr>
                <w:rFonts w:hint="eastAsia" w:ascii="宋体" w:hAnsi="宋体"/>
                <w:kern w:val="0"/>
                <w:sz w:val="21"/>
                <w:szCs w:val="21"/>
                <w:lang w:eastAsia="zh-CN"/>
              </w:rPr>
              <w:t>月</w:t>
            </w:r>
            <w:r>
              <w:rPr>
                <w:rFonts w:hint="eastAsia" w:ascii="宋体" w:hAnsi="宋体"/>
                <w:kern w:val="0"/>
                <w:sz w:val="21"/>
                <w:szCs w:val="21"/>
                <w:lang w:val="en-US" w:eastAsia="zh-CN"/>
              </w:rPr>
              <w:t>25</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lang w:eastAsia="zh-CN"/>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szCs w:val="21"/>
        </w:rPr>
        <w:t xml:space="preserve">纸箱包装、塑料包装的加工（许可范围内除外） </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hint="eastAsia"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eastAsia" w:ascii="宋体" w:hAnsi="宋体"/>
          <w:b/>
          <w:color w:val="000000"/>
        </w:rPr>
      </w:pPr>
    </w:p>
    <w:p>
      <w:pPr>
        <w:ind w:firstLine="5644" w:firstLineChars="2677"/>
        <w:rPr>
          <w:rFonts w:hint="eastAsia"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受审核方：重庆卡茂包装制品有限公司</w:t>
      </w:r>
    </w:p>
    <w:tbl>
      <w:tblPr>
        <w:tblStyle w:val="6"/>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hint="eastAsia" w:ascii="宋体"/>
                <w:color w:val="000000" w:themeColor="text1"/>
                <w:sz w:val="24"/>
                <w:szCs w:val="24"/>
                <w:lang w:val="en-US" w:eastAsia="zh-CN"/>
              </w:rPr>
            </w:pPr>
          </w:p>
          <w:p>
            <w:pPr>
              <w:pStyle w:val="4"/>
              <w:pBdr>
                <w:bottom w:val="none" w:color="auto" w:sz="0" w:space="0"/>
              </w:pBdr>
              <w:ind w:right="600"/>
              <w:jc w:val="left"/>
              <w:rPr>
                <w:rFonts w:hint="default" w:ascii="宋体"/>
                <w:color w:val="000000" w:themeColor="text1"/>
                <w:sz w:val="24"/>
                <w:szCs w:val="24"/>
                <w:lang w:val="en-US" w:eastAsia="zh-CN"/>
              </w:rPr>
            </w:pPr>
            <w:r>
              <w:rPr>
                <w:rFonts w:hint="eastAsia" w:ascii="宋体"/>
                <w:color w:val="000000" w:themeColor="text1"/>
                <w:sz w:val="24"/>
                <w:szCs w:val="24"/>
                <w:lang w:val="en-US" w:eastAsia="zh-CN"/>
              </w:rPr>
              <w:t>1</w:t>
            </w:r>
          </w:p>
          <w:p>
            <w:pPr>
              <w:pStyle w:val="4"/>
              <w:pBdr>
                <w:bottom w:val="none" w:color="auto" w:sz="0" w:space="0"/>
              </w:pBdr>
              <w:ind w:right="600"/>
              <w:jc w:val="left"/>
              <w:rPr>
                <w:rFonts w:hint="eastAsia" w:ascii="宋体"/>
                <w:color w:val="000000" w:themeColor="text1"/>
                <w:sz w:val="24"/>
                <w:szCs w:val="24"/>
                <w:lang w:val="en-US" w:eastAsia="zh-CN"/>
              </w:rPr>
            </w:pPr>
          </w:p>
          <w:p>
            <w:pPr>
              <w:pStyle w:val="4"/>
              <w:pBdr>
                <w:bottom w:val="none" w:color="auto" w:sz="0" w:space="0"/>
              </w:pBdr>
              <w:ind w:right="600"/>
              <w:jc w:val="left"/>
              <w:rPr>
                <w:rFonts w:hint="eastAsia" w:ascii="宋体"/>
                <w:color w:val="000000" w:themeColor="text1"/>
                <w:sz w:val="24"/>
                <w:szCs w:val="24"/>
                <w:lang w:val="en-US" w:eastAsia="zh-CN"/>
              </w:rPr>
            </w:pPr>
          </w:p>
          <w:p>
            <w:pPr>
              <w:pStyle w:val="4"/>
              <w:pBdr>
                <w:bottom w:val="none" w:color="auto" w:sz="0" w:space="0"/>
              </w:pBdr>
              <w:ind w:right="600"/>
              <w:jc w:val="left"/>
              <w:rPr>
                <w:rFonts w:hint="eastAsia" w:ascii="宋体"/>
                <w:color w:val="000000" w:themeColor="text1"/>
                <w:sz w:val="24"/>
                <w:szCs w:val="24"/>
                <w:lang w:val="en-US" w:eastAsia="zh-CN"/>
              </w:rPr>
            </w:pPr>
          </w:p>
          <w:p>
            <w:pPr>
              <w:pStyle w:val="4"/>
              <w:pBdr>
                <w:bottom w:val="none" w:color="auto" w:sz="0" w:space="0"/>
              </w:pBdr>
              <w:ind w:right="600"/>
              <w:jc w:val="left"/>
              <w:rPr>
                <w:rFonts w:hint="eastAsia" w:ascii="宋体"/>
                <w:color w:val="000000" w:themeColor="text1"/>
                <w:sz w:val="24"/>
                <w:szCs w:val="24"/>
                <w:lang w:val="en-US" w:eastAsia="zh-CN"/>
              </w:rPr>
            </w:pPr>
          </w:p>
          <w:p>
            <w:pPr>
              <w:pStyle w:val="4"/>
              <w:pBdr>
                <w:bottom w:val="none" w:color="auto" w:sz="0" w:space="0"/>
              </w:pBdr>
              <w:ind w:right="600"/>
              <w:jc w:val="left"/>
              <w:rPr>
                <w:rFonts w:hint="default" w:ascii="宋体"/>
                <w:color w:val="000000" w:themeColor="text1"/>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00" w:themeColor="text1"/>
                <w:sz w:val="21"/>
                <w:szCs w:val="21"/>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远程审核查见：公司的监视和测量设施设备主要是电子秤、压缩强度试验机、钢卷尺、游标卡尺</w:t>
            </w:r>
            <w:bookmarkStart w:id="18" w:name="_GoBack"/>
            <w:bookmarkEnd w:id="18"/>
            <w:r>
              <w:rPr>
                <w:rFonts w:hint="eastAsia" w:ascii="宋体" w:hAnsi="宋体" w:cs="宋体"/>
                <w:color w:val="000000" w:themeColor="text1"/>
                <w:sz w:val="21"/>
                <w:szCs w:val="21"/>
                <w:lang w:val="en-US" w:eastAsia="zh-CN"/>
              </w:rPr>
              <w:t>等，能保证产品的生产要求。查在用检具的校准证书，未能提供以上检具的有效校准证书，不符合标准要求。</w:t>
            </w: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00" w:themeColor="text1"/>
                <w:sz w:val="21"/>
                <w:szCs w:val="21"/>
              </w:rPr>
            </w:pPr>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00" w:themeColor="text1"/>
                <w:sz w:val="21"/>
                <w:szCs w:val="21"/>
              </w:rPr>
            </w:pPr>
          </w:p>
        </w:tc>
        <w:tc>
          <w:tcPr>
            <w:tcW w:w="1905"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ISO9001:2015</w:t>
            </w: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default" w:ascii="宋体" w:hAnsi="宋体" w:cs="宋体"/>
                <w:color w:val="000000" w:themeColor="text1"/>
                <w:sz w:val="21"/>
                <w:szCs w:val="21"/>
                <w:lang w:val="en-US" w:eastAsia="zh-CN"/>
              </w:rPr>
            </w:pPr>
          </w:p>
        </w:tc>
        <w:tc>
          <w:tcPr>
            <w:tcW w:w="1800"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7.1.5.2</w:t>
            </w: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default" w:ascii="宋体" w:hAnsi="宋体" w:cs="宋体"/>
                <w:color w:val="000000" w:themeColor="text1"/>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66BD6790"/>
    <w:multiLevelType w:val="singleLevel"/>
    <w:tmpl w:val="66BD679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3A83FA1"/>
    <w:rsid w:val="0B1F24B2"/>
    <w:rsid w:val="0C8275B4"/>
    <w:rsid w:val="0D26506B"/>
    <w:rsid w:val="0D2F36FA"/>
    <w:rsid w:val="0F256DF2"/>
    <w:rsid w:val="0F6755B5"/>
    <w:rsid w:val="13905027"/>
    <w:rsid w:val="1B7C5D4F"/>
    <w:rsid w:val="1CB91E8D"/>
    <w:rsid w:val="1DB65754"/>
    <w:rsid w:val="1E9E0F00"/>
    <w:rsid w:val="21912F89"/>
    <w:rsid w:val="2AF40DDA"/>
    <w:rsid w:val="2AF555A2"/>
    <w:rsid w:val="307C7F54"/>
    <w:rsid w:val="30813B68"/>
    <w:rsid w:val="35C312A4"/>
    <w:rsid w:val="3D333694"/>
    <w:rsid w:val="3ECD0AA2"/>
    <w:rsid w:val="3F2266C8"/>
    <w:rsid w:val="4173052A"/>
    <w:rsid w:val="41CA360A"/>
    <w:rsid w:val="42317FF1"/>
    <w:rsid w:val="44153258"/>
    <w:rsid w:val="46F219BF"/>
    <w:rsid w:val="49916B26"/>
    <w:rsid w:val="4AC10456"/>
    <w:rsid w:val="4BA85A03"/>
    <w:rsid w:val="4E7F1263"/>
    <w:rsid w:val="4F163653"/>
    <w:rsid w:val="533A3EED"/>
    <w:rsid w:val="53535CF4"/>
    <w:rsid w:val="5C1C5C3E"/>
    <w:rsid w:val="5CC237FA"/>
    <w:rsid w:val="5DEE6D1B"/>
    <w:rsid w:val="5F8D3C9B"/>
    <w:rsid w:val="5FE6444C"/>
    <w:rsid w:val="61C33276"/>
    <w:rsid w:val="62D838CB"/>
    <w:rsid w:val="640B1E0C"/>
    <w:rsid w:val="647F5BA5"/>
    <w:rsid w:val="656206D1"/>
    <w:rsid w:val="6AF45348"/>
    <w:rsid w:val="6BBB1423"/>
    <w:rsid w:val="6BF216D2"/>
    <w:rsid w:val="6C3949E6"/>
    <w:rsid w:val="6C4E4063"/>
    <w:rsid w:val="6C8B60DE"/>
    <w:rsid w:val="6CB121D3"/>
    <w:rsid w:val="701F7C21"/>
    <w:rsid w:val="74E06A6A"/>
    <w:rsid w:val="768934B1"/>
    <w:rsid w:val="772A727E"/>
    <w:rsid w:val="79DA1997"/>
    <w:rsid w:val="7B48571D"/>
    <w:rsid w:val="7B756E70"/>
    <w:rsid w:val="7CC77F18"/>
    <w:rsid w:val="7DB60024"/>
    <w:rsid w:val="7DDF7E2C"/>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0">
    <w:name w:val="页脚 Char"/>
    <w:basedOn w:val="8"/>
    <w:link w:val="3"/>
    <w:qFormat/>
    <w:locked/>
    <w:uiPriority w:val="99"/>
    <w:rPr>
      <w:rFonts w:ascii="Times New Roman" w:hAnsi="Times New Roman" w:eastAsia="宋体" w:cs="Times New Roman"/>
      <w:sz w:val="18"/>
      <w:szCs w:val="18"/>
    </w:rPr>
  </w:style>
  <w:style w:type="character" w:customStyle="1" w:styleId="11">
    <w:name w:val="页眉 Char"/>
    <w:basedOn w:val="8"/>
    <w:link w:val="4"/>
    <w:qFormat/>
    <w:locked/>
    <w:uiPriority w:val="99"/>
    <w:rPr>
      <w:rFonts w:ascii="Calibri" w:hAnsi="Calibri" w:eastAsia="宋体" w:cs="Times New Roman"/>
      <w:sz w:val="18"/>
      <w:szCs w:val="18"/>
    </w:rPr>
  </w:style>
  <w:style w:type="character" w:customStyle="1" w:styleId="12">
    <w:name w:val="副标题 Char"/>
    <w:basedOn w:val="8"/>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1313</Words>
  <Characters>7487</Characters>
  <Lines>62</Lines>
  <Paragraphs>17</Paragraphs>
  <TotalTime>1</TotalTime>
  <ScaleCrop>false</ScaleCrop>
  <LinksUpToDate>false</LinksUpToDate>
  <CharactersWithSpaces>8783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2020-03-17T06:21:40Z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