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齐保国</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 xml:space="preserve">EO </w:t>
            </w:r>
            <w:r>
              <w:rPr>
                <w:rFonts w:hint="eastAsia"/>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default" w:ascii="Times New Roman" w:hAnsi="Times New Roman" w:eastAsia="宋体" w:cs="Times New Roman"/>
                <w:sz w:val="21"/>
                <w:szCs w:val="21"/>
                <w:lang w:val="en-US" w:eastAsia="zh-CN"/>
              </w:rPr>
            </w:pPr>
            <w:r>
              <w:rPr>
                <w:rFonts w:hint="eastAsia"/>
                <w:sz w:val="21"/>
                <w:szCs w:val="21"/>
              </w:rPr>
              <w:t>总经理</w:t>
            </w:r>
            <w:r>
              <w:rPr>
                <w:rFonts w:hint="eastAsia"/>
                <w:sz w:val="21"/>
                <w:szCs w:val="21"/>
                <w:lang w:val="en-US" w:eastAsia="zh-CN"/>
              </w:rPr>
              <w:t>：齐保国，</w:t>
            </w:r>
            <w:r>
              <w:rPr>
                <w:rFonts w:hint="eastAsia"/>
                <w:sz w:val="21"/>
                <w:szCs w:val="21"/>
              </w:rPr>
              <w:t>管理</w:t>
            </w:r>
            <w:r>
              <w:rPr>
                <w:rFonts w:hint="default" w:ascii="Times New Roman" w:hAnsi="Times New Roman" w:cs="Times New Roman"/>
                <w:sz w:val="21"/>
                <w:szCs w:val="21"/>
              </w:rPr>
              <w:t>者代表：</w:t>
            </w:r>
            <w:r>
              <w:rPr>
                <w:rFonts w:hint="eastAsia" w:cs="Times New Roman"/>
                <w:sz w:val="21"/>
                <w:szCs w:val="21"/>
                <w:lang w:eastAsia="zh-CN"/>
              </w:rPr>
              <w:t>穆维兴</w:t>
            </w:r>
          </w:p>
          <w:p>
            <w:pPr>
              <w:rPr>
                <w:rFonts w:hint="default" w:ascii="Times New Roman" w:hAnsi="Times New Roman" w:cs="Times New Roman"/>
                <w:sz w:val="21"/>
                <w:szCs w:val="21"/>
                <w:lang w:eastAsia="zh-CN"/>
              </w:rPr>
            </w:pPr>
            <w:r>
              <w:rPr>
                <w:rFonts w:hint="default" w:ascii="Times New Roman" w:hAnsi="Times New Roman" w:cs="Times New Roman"/>
              </w:rPr>
              <w:t>■</w:t>
            </w:r>
            <w:r>
              <w:rPr>
                <w:rFonts w:hint="default" w:ascii="Times New Roman" w:hAnsi="Times New Roman" w:eastAsia="宋体" w:cs="Times New Roman"/>
                <w:sz w:val="21"/>
                <w:szCs w:val="21"/>
              </w:rPr>
              <w:t>受审核方</w:t>
            </w:r>
            <w:bookmarkStart w:id="0" w:name="组织名称"/>
            <w:r>
              <w:rPr>
                <w:b w:val="0"/>
                <w:bCs w:val="0"/>
                <w:sz w:val="21"/>
                <w:szCs w:val="21"/>
              </w:rPr>
              <w:t>沧州金泓特种电缆有限公司</w:t>
            </w:r>
            <w:bookmarkEnd w:id="0"/>
            <w:r>
              <w:rPr>
                <w:rFonts w:hint="default" w:ascii="Times New Roman" w:hAnsi="Times New Roman" w:eastAsia="宋体" w:cs="Times New Roman"/>
                <w:sz w:val="21"/>
                <w:szCs w:val="21"/>
                <w:lang w:val="en-US" w:eastAsia="zh-CN"/>
              </w:rPr>
              <w:t>成立于201</w:t>
            </w:r>
            <w:r>
              <w:rPr>
                <w:rFonts w:hint="eastAsia" w:cs="Times New Roman"/>
                <w:sz w:val="21"/>
                <w:szCs w:val="21"/>
                <w:lang w:val="en-US" w:eastAsia="zh-CN"/>
              </w:rPr>
              <w:t>4</w:t>
            </w:r>
            <w:r>
              <w:rPr>
                <w:rFonts w:hint="default" w:ascii="Times New Roman" w:hAnsi="Times New Roman" w:eastAsia="宋体" w:cs="Times New Roman"/>
                <w:sz w:val="21"/>
                <w:szCs w:val="21"/>
              </w:rPr>
              <w:t>年</w:t>
            </w:r>
            <w:r>
              <w:rPr>
                <w:rFonts w:hint="eastAsia" w:cs="Times New Roman"/>
                <w:sz w:val="21"/>
                <w:szCs w:val="21"/>
                <w:lang w:val="en-US" w:eastAsia="zh-CN"/>
              </w:rPr>
              <w:t>5</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default" w:ascii="Times New Roman" w:hAnsi="Times New Roman" w:eastAsia="宋体" w:cs="Times New Roman"/>
                <w:sz w:val="21"/>
                <w:szCs w:val="21"/>
              </w:rPr>
              <w:t>日，注册资本</w:t>
            </w:r>
            <w:r>
              <w:rPr>
                <w:rFonts w:hint="eastAsia" w:cs="Times New Roman"/>
                <w:sz w:val="21"/>
                <w:szCs w:val="21"/>
                <w:lang w:val="en-US" w:eastAsia="zh-CN"/>
              </w:rPr>
              <w:t>12000</w:t>
            </w:r>
            <w:r>
              <w:rPr>
                <w:rFonts w:hint="default" w:ascii="Times New Roman" w:hAnsi="Times New Roman" w:eastAsia="宋体" w:cs="Times New Roman"/>
                <w:sz w:val="21"/>
                <w:szCs w:val="21"/>
              </w:rPr>
              <w:t>万元，地址位于</w:t>
            </w:r>
            <w:bookmarkStart w:id="1" w:name="生产地址"/>
            <w:r>
              <w:rPr>
                <w:sz w:val="21"/>
                <w:szCs w:val="21"/>
              </w:rPr>
              <w:t>河北省沧州市河间市故仙镇邱故仙村时景路东</w:t>
            </w:r>
            <w:bookmarkEnd w:id="1"/>
            <w:r>
              <w:rPr>
                <w:rFonts w:hint="default" w:ascii="Times New Roman" w:hAnsi="Times New Roman" w:eastAsia="宋体" w:cs="Times New Roman"/>
                <w:sz w:val="21"/>
                <w:szCs w:val="21"/>
              </w:rPr>
              <w:t>，</w:t>
            </w:r>
            <w:r>
              <w:rPr>
                <w:rFonts w:hint="eastAsia" w:ascii="宋体"/>
                <w:color w:val="000000"/>
                <w:sz w:val="20"/>
                <w:szCs w:val="20"/>
                <w:lang w:val="en-US" w:eastAsia="zh-CN"/>
              </w:rPr>
              <w:t>建筑面积2800平米，其中车间1600平米</w:t>
            </w:r>
            <w:r>
              <w:rPr>
                <w:rFonts w:hint="default" w:ascii="Times New Roman" w:hAnsi="Times New Roman" w:eastAsia="宋体" w:cs="Times New Roman"/>
                <w:sz w:val="21"/>
                <w:szCs w:val="21"/>
              </w:rPr>
              <w:t>，主要从事</w:t>
            </w:r>
            <w:r>
              <w:rPr>
                <w:rFonts w:hint="eastAsia" w:cs="Times New Roman"/>
                <w:sz w:val="21"/>
                <w:szCs w:val="21"/>
                <w:lang w:eastAsia="zh-CN"/>
              </w:rPr>
              <w:t>电缆电线</w:t>
            </w:r>
            <w:r>
              <w:rPr>
                <w:rFonts w:hint="default" w:ascii="Times New Roman" w:hAnsi="Times New Roman" w:eastAsia="宋体" w:cs="Times New Roman"/>
                <w:sz w:val="21"/>
                <w:szCs w:val="21"/>
              </w:rPr>
              <w:t>的生产和销售</w:t>
            </w:r>
            <w:r>
              <w:rPr>
                <w:rFonts w:hint="default" w:ascii="Times New Roman" w:hAnsi="Times New Roman" w:cs="Times New Roman"/>
                <w:sz w:val="21"/>
                <w:szCs w:val="21"/>
                <w:lang w:eastAsia="zh-CN"/>
              </w:rPr>
              <w:t>。</w:t>
            </w:r>
          </w:p>
          <w:p>
            <w:pPr>
              <w:rPr>
                <w:rFonts w:hint="eastAsia"/>
                <w:color w:val="auto"/>
                <w:lang w:val="en-GB"/>
              </w:rPr>
            </w:pPr>
            <w:r>
              <w:rPr>
                <w:rFonts w:hint="default" w:ascii="Times New Roman" w:hAnsi="Times New Roman" w:cs="Times New Roman"/>
              </w:rPr>
              <w:t>■根据企业发展及经营管理的需求，公司</w:t>
            </w:r>
            <w:r>
              <w:rPr>
                <w:rFonts w:hint="eastAsia"/>
              </w:rPr>
              <w:t>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sz w:val="21"/>
                <w:szCs w:val="21"/>
              </w:rPr>
            </w:pPr>
            <w:bookmarkStart w:id="2" w:name="审核范围"/>
            <w:r>
              <w:rPr>
                <w:b w:val="0"/>
                <w:bCs w:val="0"/>
                <w:sz w:val="21"/>
                <w:szCs w:val="21"/>
              </w:rPr>
              <w:t>Q：许可范围内的电缆电线的生产销售</w:t>
            </w:r>
          </w:p>
          <w:p>
            <w:pPr>
              <w:rPr>
                <w:b w:val="0"/>
                <w:bCs w:val="0"/>
                <w:sz w:val="21"/>
                <w:szCs w:val="21"/>
              </w:rPr>
            </w:pPr>
            <w:r>
              <w:rPr>
                <w:b w:val="0"/>
                <w:bCs w:val="0"/>
                <w:sz w:val="21"/>
                <w:szCs w:val="21"/>
              </w:rPr>
              <w:t>E：许可范围内的电缆电线的生产销售及其所涉及的环境管理活动</w:t>
            </w:r>
          </w:p>
          <w:p>
            <w:pPr>
              <w:rPr>
                <w:rFonts w:hint="eastAsia" w:ascii="Times New Roman" w:hAnsi="Times New Roman" w:cs="Times New Roman"/>
                <w:szCs w:val="22"/>
                <w:lang w:val="en-US" w:eastAsia="zh-CN"/>
              </w:rPr>
            </w:pPr>
            <w:r>
              <w:rPr>
                <w:b w:val="0"/>
                <w:bCs w:val="0"/>
                <w:sz w:val="21"/>
                <w:szCs w:val="21"/>
              </w:rPr>
              <w:t>O：许可范围内的电缆电线的生产销售及其所涉及的职业健康安全管理活动</w:t>
            </w:r>
            <w:bookmarkEnd w:id="2"/>
          </w:p>
          <w:p>
            <w:pPr>
              <w:rPr>
                <w:rFonts w:hint="default" w:eastAsia="宋体"/>
                <w:lang w:val="en-US" w:eastAsia="zh-CN"/>
              </w:rPr>
            </w:pPr>
            <w:r>
              <w:t>■</w:t>
            </w:r>
            <w:r>
              <w:rPr>
                <w:rFonts w:hint="eastAsia"/>
                <w:u w:val="single"/>
              </w:rPr>
              <w:t>外包过程：</w:t>
            </w:r>
            <w:r>
              <w:rPr>
                <w:rFonts w:hint="eastAsia"/>
                <w:u w:val="single"/>
                <w:lang w:val="en-US" w:eastAsia="zh-CN"/>
              </w:rPr>
              <w:t>产品运输，《管理手册》识别不符</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22</w:t>
            </w:r>
            <w:r>
              <w:rPr>
                <w:rFonts w:hint="eastAsia"/>
              </w:rPr>
              <w:t>人，无倒班情况</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QEO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lang w:eastAsia="zh-CN"/>
              </w:rPr>
            </w:pPr>
            <w:r>
              <w:rPr>
                <w:rFonts w:hint="eastAsia" w:ascii="Times New Roman" w:hAnsi="Times New Roman" w:cs="宋体"/>
                <w:szCs w:val="22"/>
              </w:rPr>
              <w:t>管理手册明确了公司的管理方针：守法诚信追求精品，预防污染保护环境；关爱员工健康安全，持续改进追求卓越</w:t>
            </w:r>
            <w:r>
              <w:rPr>
                <w:rFonts w:hint="eastAsia" w:ascii="Times New Roman" w:hAnsi="Times New Roman" w:cs="宋体"/>
                <w:szCs w:val="22"/>
                <w:lang w:eastAsia="zh-CN"/>
              </w:rPr>
              <w:t>。</w:t>
            </w:r>
          </w:p>
          <w:p>
            <w:pPr>
              <w:rPr>
                <w:rFonts w:hint="eastAsia" w:ascii="Times New Roman" w:hAnsi="Times New Roman" w:cs="宋体"/>
                <w:szCs w:val="22"/>
              </w:rPr>
            </w:pPr>
            <w:r>
              <w:rPr>
                <w:rFonts w:hint="eastAsia" w:ascii="Times New Roman" w:hAnsi="Times New Roman" w:cs="宋体"/>
                <w:szCs w:val="22"/>
              </w:rPr>
              <w:t>总经理证实，与企业的宗旨一直，随管理手册的发布宣传贯彻。</w:t>
            </w:r>
          </w:p>
          <w:p>
            <w:pPr>
              <w:rPr>
                <w:rFonts w:hint="eastAsia" w:ascii="Times New Roman" w:hAnsi="Times New Roman" w:cs="宋体"/>
                <w:szCs w:val="22"/>
              </w:rPr>
            </w:pPr>
            <w:r>
              <w:rPr>
                <w:rFonts w:hint="eastAsia" w:ascii="Times New Roman" w:hAnsi="Times New Roman" w:cs="宋体"/>
                <w:szCs w:val="22"/>
              </w:rPr>
              <w:t>公司质量目标：</w:t>
            </w:r>
          </w:p>
          <w:p>
            <w:pPr>
              <w:rPr>
                <w:rFonts w:hint="eastAsia" w:ascii="Times New Roman" w:hAnsi="Times New Roman" w:cs="宋体"/>
                <w:szCs w:val="22"/>
              </w:rPr>
            </w:pPr>
            <w:r>
              <w:rPr>
                <w:rFonts w:hint="eastAsia" w:ascii="Times New Roman" w:hAnsi="Times New Roman" w:cs="宋体"/>
                <w:szCs w:val="22"/>
              </w:rPr>
              <w:t xml:space="preserve"> ――产品出厂合格率100%。</w:t>
            </w:r>
          </w:p>
          <w:p>
            <w:pPr>
              <w:rPr>
                <w:rFonts w:hint="eastAsia" w:ascii="Times New Roman" w:hAnsi="Times New Roman" w:cs="宋体"/>
                <w:szCs w:val="22"/>
              </w:rPr>
            </w:pPr>
            <w:r>
              <w:rPr>
                <w:rFonts w:hint="eastAsia" w:ascii="Times New Roman" w:hAnsi="Times New Roman" w:cs="宋体"/>
                <w:szCs w:val="22"/>
              </w:rPr>
              <w:t xml:space="preserve"> ――顾客满意度95%以上。</w:t>
            </w:r>
          </w:p>
          <w:p>
            <w:pPr>
              <w:rPr>
                <w:rFonts w:hint="eastAsia" w:ascii="Times New Roman" w:hAnsi="Times New Roman" w:cs="宋体"/>
                <w:szCs w:val="22"/>
              </w:rPr>
            </w:pPr>
            <w:r>
              <w:rPr>
                <w:rFonts w:hint="eastAsia" w:ascii="Times New Roman" w:hAnsi="Times New Roman" w:cs="宋体"/>
                <w:szCs w:val="22"/>
              </w:rPr>
              <w:t>环境目标和指标：</w:t>
            </w:r>
          </w:p>
          <w:p>
            <w:pPr>
              <w:rPr>
                <w:rFonts w:hint="eastAsia" w:ascii="Times New Roman" w:hAnsi="Times New Roman" w:cs="宋体"/>
                <w:szCs w:val="22"/>
              </w:rPr>
            </w:pPr>
            <w:r>
              <w:rPr>
                <w:rFonts w:hint="eastAsia" w:ascii="Times New Roman" w:hAnsi="Times New Roman" w:cs="宋体"/>
                <w:szCs w:val="22"/>
              </w:rPr>
              <w:t>――固体废物100%分类收集；</w:t>
            </w:r>
          </w:p>
          <w:p>
            <w:pPr>
              <w:rPr>
                <w:rFonts w:hint="eastAsia" w:ascii="Times New Roman" w:hAnsi="Times New Roman" w:cs="宋体"/>
                <w:szCs w:val="22"/>
              </w:rPr>
            </w:pPr>
            <w:r>
              <w:rPr>
                <w:rFonts w:hint="eastAsia" w:ascii="Times New Roman" w:hAnsi="Times New Roman" w:cs="宋体"/>
                <w:szCs w:val="22"/>
              </w:rPr>
              <w:t>――杜绝火灾事故发生。</w:t>
            </w:r>
          </w:p>
          <w:p>
            <w:pPr>
              <w:rPr>
                <w:rFonts w:hint="eastAsia" w:ascii="Times New Roman" w:hAnsi="Times New Roman" w:cs="宋体"/>
                <w:szCs w:val="22"/>
              </w:rPr>
            </w:pPr>
            <w:r>
              <w:rPr>
                <w:rFonts w:hint="eastAsia" w:ascii="Times New Roman" w:hAnsi="Times New Roman" w:cs="宋体"/>
                <w:szCs w:val="22"/>
              </w:rPr>
              <w:t>――噪声、废气达标排放。</w:t>
            </w:r>
          </w:p>
          <w:p>
            <w:pPr>
              <w:rPr>
                <w:rFonts w:hint="eastAsia" w:ascii="Times New Roman" w:hAnsi="Times New Roman" w:cs="宋体"/>
                <w:szCs w:val="22"/>
              </w:rPr>
            </w:pPr>
            <w:r>
              <w:rPr>
                <w:rFonts w:hint="eastAsia" w:ascii="Times New Roman" w:hAnsi="Times New Roman" w:cs="宋体"/>
                <w:szCs w:val="22"/>
              </w:rPr>
              <w:t>职业健康安全目标和指标：</w:t>
            </w:r>
          </w:p>
          <w:p>
            <w:pPr>
              <w:rPr>
                <w:rFonts w:hint="eastAsia" w:ascii="Times New Roman" w:hAnsi="Times New Roman" w:cs="宋体"/>
                <w:szCs w:val="22"/>
              </w:rPr>
            </w:pPr>
            <w:r>
              <w:rPr>
                <w:rFonts w:hint="eastAsia" w:ascii="Times New Roman" w:hAnsi="Times New Roman" w:cs="宋体"/>
                <w:szCs w:val="22"/>
              </w:rPr>
              <w:t xml:space="preserve">――杜绝各类重伤以上事故，且事故发生率为零； </w:t>
            </w:r>
          </w:p>
          <w:p>
            <w:pPr>
              <w:rPr>
                <w:rFonts w:hint="eastAsia" w:ascii="Times New Roman" w:hAnsi="Times New Roman" w:cs="宋体"/>
                <w:szCs w:val="22"/>
              </w:rPr>
            </w:pPr>
            <w:r>
              <w:rPr>
                <w:rFonts w:hint="eastAsia" w:ascii="Times New Roman" w:hAnsi="Times New Roman" w:cs="宋体"/>
                <w:szCs w:val="22"/>
              </w:rPr>
              <w:t>――杜绝火灾事故，火灾事故发生率为零。</w:t>
            </w:r>
          </w:p>
          <w:p>
            <w:pPr>
              <w:rPr>
                <w:rFonts w:hint="eastAsia" w:ascii="Times New Roman" w:hAnsi="Times New Roman" w:cs="宋体"/>
                <w:szCs w:val="22"/>
              </w:rPr>
            </w:pPr>
            <w:r>
              <w:rPr>
                <w:rFonts w:hint="eastAsia" w:ascii="Times New Roman" w:hAnsi="Times New Roman" w:cs="宋体"/>
                <w:szCs w:val="22"/>
              </w:rPr>
              <w:t>――杜绝职业病的发生，职业病发生率为零。</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szCs w:val="22"/>
                <w:lang w:val="en-US" w:eastAsia="zh-CN"/>
              </w:rPr>
            </w:pPr>
            <w:r>
              <w:rPr>
                <w:rFonts w:hint="eastAsia"/>
              </w:rPr>
              <w:t>2</w:t>
            </w:r>
            <w:r>
              <w:rPr>
                <w:rFonts w:hint="eastAsia"/>
                <w:lang w:val="en-US" w:eastAsia="zh-CN"/>
              </w:rPr>
              <w:t>019</w:t>
            </w:r>
            <w:r>
              <w:rPr>
                <w:rFonts w:hint="eastAsia"/>
              </w:rPr>
              <w:t>年</w:t>
            </w:r>
            <w:r>
              <w:rPr>
                <w:rFonts w:hint="eastAsia"/>
                <w:lang w:val="en-US" w:eastAsia="zh-CN"/>
              </w:rPr>
              <w:t>9</w:t>
            </w:r>
            <w:r>
              <w:rPr>
                <w:rFonts w:hint="eastAsia"/>
                <w:szCs w:val="22"/>
                <w:lang w:val="en-US" w:eastAsia="zh-CN"/>
              </w:rPr>
              <w:t>月11-12日进行内部审核，提供内部审核计划、内审检查表、不合格报告、内部质量管理体系审核报告等，基本符合要求。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19</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生产销售</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19.8.23</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ascii="Times New Roman" w:hAnsi="Times New Roman" w:cs="Times New Roman"/>
                <w:szCs w:val="22"/>
              </w:rPr>
            </w:pPr>
            <w:r>
              <w:rPr>
                <w:rFonts w:hint="eastAsia" w:ascii="Times New Roman" w:hAnsi="Times New Roman" w:cs="Times New Roman"/>
                <w:szCs w:val="22"/>
              </w:rPr>
              <w:t>提供</w:t>
            </w:r>
            <w:r>
              <w:rPr>
                <w:rFonts w:hint="eastAsia"/>
              </w:rPr>
              <w:t>营业执照</w:t>
            </w:r>
            <w:r>
              <w:rPr>
                <w:rFonts w:hint="eastAsia"/>
                <w:lang w:val="en-US" w:eastAsia="zh-CN"/>
              </w:rPr>
              <w:t>、生产许可证、建设项目环境影响报告表、竣工验收报告、环境影响报告表批复、检测报告</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5-9</w:t>
            </w:r>
            <w:r>
              <w:rPr>
                <w:rFonts w:hint="eastAsia"/>
              </w:rPr>
              <w:t>日</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eastAsia="zh-CN"/>
              </w:rPr>
              <w:t>：</w:t>
            </w:r>
            <w:r>
              <w:rPr>
                <w:rFonts w:hint="eastAsia"/>
                <w:sz w:val="24"/>
                <w:szCs w:val="24"/>
              </w:rPr>
              <w:t>齐占平</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2020.4.4</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Q7.1.6/7.5；E</w:t>
            </w:r>
            <w:r>
              <w:rPr>
                <w:rFonts w:hint="eastAsia"/>
                <w:sz w:val="21"/>
                <w:szCs w:val="21"/>
                <w:lang w:val="en-US" w:eastAsia="zh-CN"/>
              </w:rPr>
              <w:t>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7.1.6</w:t>
            </w:r>
          </w:p>
          <w:p>
            <w:pPr>
              <w:rPr>
                <w:rFonts w:hint="eastAsia"/>
                <w:sz w:val="21"/>
                <w:szCs w:val="21"/>
                <w:lang w:val="en-US" w:eastAsia="zh-CN"/>
              </w:rPr>
            </w:pPr>
            <w:r>
              <w:rPr>
                <w:rFonts w:hint="eastAsia"/>
                <w:sz w:val="21"/>
                <w:szCs w:val="21"/>
                <w:lang w:val="en-US" w:eastAsia="zh-CN"/>
              </w:rPr>
              <w:t>EO6.1.3</w:t>
            </w:r>
          </w:p>
          <w:p>
            <w:pPr>
              <w:rPr>
                <w:rFonts w:hint="default" w:eastAsia="宋体"/>
                <w:sz w:val="21"/>
                <w:szCs w:val="21"/>
                <w:lang w:val="en-US" w:eastAsia="zh-CN"/>
              </w:rPr>
            </w:pPr>
            <w:r>
              <w:rPr>
                <w:rFonts w:hint="eastAsia"/>
                <w:sz w:val="21"/>
                <w:szCs w:val="21"/>
                <w:lang w:val="en-US" w:eastAsia="zh-CN"/>
              </w:rPr>
              <w:t>QEO7.5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1.管理手册JHTZ—SC—2019</w:t>
            </w:r>
            <w:r>
              <w:rPr>
                <w:rFonts w:hint="eastAsia" w:cs="Times New Roman"/>
                <w:color w:val="auto"/>
                <w:szCs w:val="22"/>
                <w:highlight w:val="none"/>
                <w:lang w:val="en-US" w:eastAsia="zh-CN"/>
              </w:rPr>
              <w:t xml:space="preserve"> </w:t>
            </w:r>
            <w:r>
              <w:rPr>
                <w:rFonts w:hint="eastAsia" w:ascii="Times New Roman" w:hAnsi="Times New Roman" w:cs="Times New Roman"/>
                <w:color w:val="auto"/>
                <w:szCs w:val="22"/>
                <w:highlight w:val="none"/>
              </w:rPr>
              <w:t>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6</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10</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2.程序文件JHTZ—</w:t>
            </w:r>
            <w:r>
              <w:rPr>
                <w:rFonts w:hint="eastAsia" w:cs="Times New Roman"/>
                <w:color w:val="auto"/>
                <w:szCs w:val="22"/>
                <w:highlight w:val="none"/>
                <w:lang w:val="en-US" w:eastAsia="zh-CN"/>
              </w:rPr>
              <w:t>CX—（01-29）</w:t>
            </w:r>
            <w:r>
              <w:rPr>
                <w:rFonts w:hint="eastAsia" w:ascii="Times New Roman" w:hAnsi="Times New Roman" w:cs="Times New Roman"/>
                <w:color w:val="auto"/>
                <w:szCs w:val="22"/>
                <w:highlight w:val="none"/>
              </w:rPr>
              <w:t>—2019，含</w:t>
            </w:r>
            <w:r>
              <w:rPr>
                <w:rFonts w:hint="eastAsia" w:cs="Times New Roman"/>
                <w:color w:val="auto"/>
                <w:szCs w:val="22"/>
                <w:highlight w:val="none"/>
                <w:lang w:val="en-US" w:eastAsia="zh-CN"/>
              </w:rPr>
              <w:t>29</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w:t>
            </w:r>
            <w:r>
              <w:rPr>
                <w:rFonts w:hint="eastAsia" w:cs="Times New Roman"/>
                <w:color w:val="auto"/>
                <w:szCs w:val="22"/>
                <w:highlight w:val="none"/>
                <w:lang w:val="en-US" w:eastAsia="zh-CN"/>
              </w:rPr>
              <w:t>管理、</w:t>
            </w:r>
            <w:r>
              <w:rPr>
                <w:rFonts w:hint="eastAsia" w:ascii="Times New Roman" w:hAnsi="Times New Roman" w:cs="Times New Roman"/>
                <w:color w:val="auto"/>
                <w:szCs w:val="22"/>
                <w:highlight w:val="none"/>
              </w:rPr>
              <w:t>作业文件JHTZ-GL-01-2019</w:t>
            </w:r>
            <w:r>
              <w:rPr>
                <w:rFonts w:hint="eastAsia" w:cs="Times New Roman"/>
                <w:color w:val="auto"/>
                <w:szCs w:val="22"/>
                <w:highlight w:val="none"/>
                <w:lang w:eastAsia="zh-CN"/>
              </w:rPr>
              <w:t>、JHTZ-GL-0</w:t>
            </w:r>
            <w:r>
              <w:rPr>
                <w:rFonts w:hint="eastAsia" w:cs="Times New Roman"/>
                <w:color w:val="auto"/>
                <w:szCs w:val="22"/>
                <w:highlight w:val="none"/>
                <w:lang w:val="en-US" w:eastAsia="zh-CN"/>
              </w:rPr>
              <w:t>2</w:t>
            </w:r>
            <w:r>
              <w:rPr>
                <w:rFonts w:hint="eastAsia" w:cs="Times New Roman"/>
                <w:color w:val="auto"/>
                <w:szCs w:val="22"/>
                <w:highlight w:val="none"/>
                <w:lang w:eastAsia="zh-CN"/>
              </w:rPr>
              <w:t>-2019</w:t>
            </w:r>
            <w:r>
              <w:rPr>
                <w:rFonts w:hint="eastAsia" w:cs="Times New Roman"/>
                <w:color w:val="auto"/>
                <w:szCs w:val="22"/>
                <w:highlight w:val="none"/>
                <w:lang w:val="en-US" w:eastAsia="zh-CN"/>
              </w:rPr>
              <w:t>等</w:t>
            </w:r>
            <w:r>
              <w:rPr>
                <w:rFonts w:hint="eastAsia"/>
                <w:sz w:val="21"/>
                <w:szCs w:val="21"/>
                <w:highlight w:val="none"/>
              </w:rPr>
              <w:t>，包括：</w:t>
            </w:r>
            <w:r>
              <w:rPr>
                <w:rFonts w:hint="eastAsia"/>
                <w:sz w:val="21"/>
                <w:szCs w:val="21"/>
                <w:highlight w:val="none"/>
                <w:lang w:val="en-US" w:eastAsia="zh-CN"/>
              </w:rPr>
              <w:t>质量管理制度、环境管理制度、安全消防制度、岗位职责及任职要求、产品进货检验规范</w:t>
            </w:r>
            <w:r>
              <w:rPr>
                <w:rFonts w:hint="eastAsia"/>
                <w:sz w:val="21"/>
                <w:szCs w:val="21"/>
                <w:highlight w:val="none"/>
              </w:rPr>
              <w:t>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、GB/T14049-2008《额定电压10kV架空绝缘电缆》、 GB/T 9330.3-2008《塑料绝缘控制电缆第3部分_交联聚乙烯绝缘控制电缆》、GB/T 12706.1-2008 《额定电压1kV(Um=1.2kV)到35kV(Um=40.5kV)挤包绝缘电力电缆及附件第1部分:额定电压1kV(Um=1.2kV)和3kV(Um=3.6kV)电缆》</w:t>
            </w:r>
            <w:r>
              <w:rPr>
                <w:rFonts w:hint="eastAsia" w:cs="Times New Roman"/>
                <w:sz w:val="21"/>
                <w:szCs w:val="21"/>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w:t>
            </w:r>
            <w:r>
              <w:rPr>
                <w:rFonts w:hint="default" w:ascii="Times New Roman" w:hAnsi="Times New Roman" w:cs="Times New Roman"/>
                <w:highlight w:val="none"/>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挤出</w:t>
            </w:r>
            <w:r>
              <w:rPr>
                <w:rFonts w:hint="default" w:ascii="Times New Roman" w:hAnsi="Times New Roman" w:cs="Times New Roman"/>
                <w:sz w:val="21"/>
                <w:szCs w:val="21"/>
                <w:highlight w:val="none"/>
              </w:rPr>
              <w:t>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eastAsia"/>
                <w:sz w:val="21"/>
                <w:szCs w:val="21"/>
                <w:lang w:val="en-US" w:eastAsia="zh-CN"/>
              </w:rPr>
              <w:t>职业病、意外伤害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环境目标、指标、管理方案：抽目标指标：废弃物100%分类堆放处置</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管理方案：1、综合部负责于2019年6月份制定《固体废弃物管理规定》，并报经总经理批准后实施。 2、公司各部门严格按照《固体废弃物管理规定》的要求，对固体废弃物进行合理分类，并放置到指定位置。3、公司按相关的要求，危险固废交由有资质单位处理，定期将不能回收利用的废弃物交环卫进行收集处理。</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综合部门、项目部门及其它部门中产生的各种废弃物应放置到指定位置，得到妥善处置，并定期进行检查。</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val="en-US" w:eastAsia="zh-CN"/>
              </w:rPr>
              <w:t>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以实际发生为准</w:t>
            </w:r>
            <w:r>
              <w:rPr>
                <w:rFonts w:hint="default" w:ascii="Times New Roman" w:hAnsi="Times New Roman" w:cs="Times New Roman"/>
                <w:sz w:val="21"/>
                <w:szCs w:val="21"/>
                <w:highlight w:val="none"/>
              </w:rPr>
              <w:t>，起止时间：201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6-9</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共根据识别的重要环境因素策划管理方案4个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综合部</w:t>
            </w:r>
            <w:r>
              <w:rPr>
                <w:rFonts w:hint="default" w:ascii="Times New Roman" w:hAnsi="Times New Roman" w:cs="Times New Roman"/>
                <w:sz w:val="21"/>
                <w:szCs w:val="21"/>
                <w:highlight w:val="none"/>
              </w:rPr>
              <w:t>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cs="Times New Roman"/>
                <w:sz w:val="21"/>
                <w:szCs w:val="21"/>
                <w:highlight w:val="none"/>
                <w:lang w:val="en-US" w:eastAsia="zh-CN"/>
              </w:rPr>
              <w:t>火灾</w:t>
            </w:r>
            <w:r>
              <w:rPr>
                <w:rFonts w:hint="default" w:ascii="Times New Roman" w:hAnsi="Times New Roman" w:cs="Times New Roman"/>
                <w:sz w:val="21"/>
                <w:szCs w:val="21"/>
                <w:highlight w:val="none"/>
              </w:rPr>
              <w:t>事故为零。</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管理方案：1．识别易发生火灾方面的危险源，列出用防火安全设施清单；2．就增添灭火防火装置；3．购置器材、实施上述已评审、批准的方案；4．对员工进行防火安全教育的培训；5．纳入日常安全管理制度，进行检查。</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1000</w:t>
            </w:r>
            <w:r>
              <w:rPr>
                <w:rFonts w:hint="default" w:ascii="Times New Roman" w:hAnsi="Times New Roman" w:cs="Times New Roman"/>
                <w:sz w:val="21"/>
                <w:szCs w:val="21"/>
                <w:highlight w:val="none"/>
              </w:rPr>
              <w:t>，起止时间：201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6-</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策划的职业健康安全目标指标管理方案基本可行</w:t>
            </w:r>
            <w:r>
              <w:rPr>
                <w:rFonts w:hint="eastAsia"/>
                <w:highlight w:val="none"/>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val="en-US" w:eastAsia="zh-CN"/>
              </w:rPr>
              <w:t>触电、意外</w:t>
            </w:r>
            <w:r>
              <w:rPr>
                <w:rFonts w:hint="eastAsia"/>
                <w:sz w:val="21"/>
                <w:szCs w:val="21"/>
                <w:lang w:eastAsia="zh-CN"/>
              </w:rPr>
              <w:t>伤害</w:t>
            </w:r>
            <w:r>
              <w:rPr>
                <w:rFonts w:hint="eastAsia"/>
                <w:sz w:val="21"/>
                <w:szCs w:val="21"/>
              </w:rPr>
              <w:t>应急预案</w:t>
            </w:r>
          </w:p>
        </w:tc>
        <w:tc>
          <w:tcPr>
            <w:tcW w:w="92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sz w:val="24"/>
                <w:szCs w:val="24"/>
              </w:rPr>
              <w:t>齐亮</w:t>
            </w:r>
            <w:r>
              <w:rPr>
                <w:rFonts w:hint="eastAsia"/>
                <w:sz w:val="24"/>
                <w:szCs w:val="24"/>
                <w:lang w:val="en-US" w:eastAsia="zh-CN"/>
              </w:rPr>
              <w:t>/</w:t>
            </w:r>
            <w:r>
              <w:rPr>
                <w:rFonts w:hint="eastAsia"/>
                <w:sz w:val="24"/>
                <w:szCs w:val="24"/>
              </w:rPr>
              <w:t>祁伟</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cs="Times New Roman"/>
                <w:sz w:val="21"/>
                <w:szCs w:val="21"/>
                <w:lang w:val="en-US" w:eastAsia="zh-CN"/>
              </w:rPr>
              <w:t>GB/T14049-2008《额定电压10kV架空绝缘电缆》、 GB/T 9330.3-2008《塑料绝缘控制电缆第3部分_交联聚乙烯绝缘控制电缆》、GB/T 12706.1-2008 《额定电压1kV(Um=1.2kV)到35kV(Um=40.5kV)挤包绝缘电力电缆及附件第1部分:额定电压1kV(Um=1.2kV)和3kV(Um=3.6kV)电缆》</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sz w:val="21"/>
                <w:szCs w:val="21"/>
              </w:rPr>
            </w:pPr>
            <w:r>
              <w:rPr>
                <w:rFonts w:hint="eastAsia" w:ascii="宋体" w:hAnsi="宋体"/>
                <w:color w:val="000000"/>
                <w:sz w:val="20"/>
                <w:szCs w:val="20"/>
                <w:lang w:val="en-US" w:eastAsia="zh-CN"/>
              </w:rPr>
              <w:t>原材料—拉丝—绞线—绝缘挤出—承揽护套挤出—成品</w:t>
            </w:r>
          </w:p>
          <w:p>
            <w:pPr>
              <w:rPr>
                <w:rFonts w:hint="eastAsia"/>
                <w:u w:val="single"/>
                <w:lang w:val="en-US" w:eastAsia="zh-CN"/>
              </w:rPr>
            </w:pPr>
            <w:r>
              <w:rPr>
                <w:rFonts w:hint="eastAsia"/>
                <w:u w:val="single"/>
                <w:lang w:val="en-US" w:eastAsia="zh-CN"/>
              </w:rPr>
              <w:t>《管理手册》识别不符。</w:t>
            </w:r>
          </w:p>
          <w:p>
            <w:pPr>
              <w:rPr>
                <w:rFonts w:hint="eastAsia"/>
                <w:sz w:val="21"/>
                <w:szCs w:val="21"/>
              </w:rPr>
            </w:pPr>
            <w:r>
              <w:rPr>
                <w:rFonts w:hint="eastAsia"/>
                <w:sz w:val="21"/>
                <w:szCs w:val="21"/>
              </w:rPr>
              <w:t>销售服务流程：</w:t>
            </w:r>
          </w:p>
          <w:p>
            <w:pPr>
              <w:rPr>
                <w:rFonts w:hint="eastAsia"/>
                <w:sz w:val="21"/>
                <w:szCs w:val="21"/>
              </w:rPr>
            </w:pPr>
            <w:r>
              <w:rPr>
                <w:rFonts w:hint="eastAsia"/>
                <w:sz w:val="21"/>
                <w:szCs w:val="21"/>
                <w:lang w:val="en-US" w:eastAsia="zh-CN"/>
              </w:rPr>
              <w:t>客户洽谈</w:t>
            </w:r>
            <w:r>
              <w:rPr>
                <w:rFonts w:hint="eastAsia"/>
                <w:sz w:val="21"/>
                <w:szCs w:val="21"/>
              </w:rPr>
              <w:t>―合同评审―签订合同―下达生产任务单（组织生产）―客户验收―交付</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挤出作业指导书</w:t>
            </w:r>
            <w:r>
              <w:rPr>
                <w:rFonts w:hint="eastAsia"/>
                <w:sz w:val="21"/>
                <w:szCs w:val="21"/>
                <w:lang w:eastAsia="zh-CN"/>
              </w:rPr>
              <w:t>》、《</w:t>
            </w:r>
            <w:r>
              <w:rPr>
                <w:rFonts w:hint="eastAsia"/>
                <w:sz w:val="21"/>
                <w:szCs w:val="21"/>
                <w:lang w:val="en-US" w:eastAsia="zh-CN"/>
              </w:rPr>
              <w:t>销售服务规范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single"/>
              </w:rPr>
              <w:t>需确</w:t>
            </w:r>
            <w:r>
              <w:rPr>
                <w:rFonts w:hint="eastAsia"/>
                <w:u w:val="single"/>
                <w:lang w:eastAsia="zh-CN"/>
              </w:rPr>
              <w:t>认</w:t>
            </w:r>
            <w:r>
              <w:rPr>
                <w:rFonts w:hint="eastAsia"/>
                <w:u w:val="single"/>
              </w:rPr>
              <w:t>过程</w:t>
            </w:r>
            <w:r>
              <w:rPr>
                <w:rFonts w:hint="eastAsia"/>
                <w:u w:val="single"/>
                <w:lang w:eastAsia="zh-CN"/>
              </w:rPr>
              <w:t>：</w:t>
            </w:r>
            <w:r>
              <w:rPr>
                <w:rFonts w:hint="eastAsia"/>
                <w:u w:val="single"/>
                <w:lang w:val="en-US" w:eastAsia="zh-CN"/>
              </w:rPr>
              <w:t>挤出。《管理手册》识别不符。</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color w:val="000000"/>
                <w:sz w:val="20"/>
                <w:szCs w:val="20"/>
              </w:rPr>
              <w:t>绞线机</w:t>
            </w:r>
            <w:r>
              <w:rPr>
                <w:rFonts w:hint="eastAsia" w:ascii="宋体"/>
                <w:color w:val="000000"/>
                <w:sz w:val="20"/>
                <w:szCs w:val="20"/>
                <w:lang w:eastAsia="zh-CN"/>
              </w:rPr>
              <w:t>、</w:t>
            </w:r>
            <w:r>
              <w:rPr>
                <w:rFonts w:hint="eastAsia" w:ascii="宋体"/>
                <w:color w:val="000000"/>
                <w:sz w:val="20"/>
                <w:szCs w:val="20"/>
              </w:rPr>
              <w:t>成缆机</w:t>
            </w:r>
            <w:r>
              <w:rPr>
                <w:rFonts w:hint="eastAsia" w:ascii="宋体"/>
                <w:color w:val="000000"/>
                <w:sz w:val="20"/>
                <w:szCs w:val="20"/>
                <w:lang w:eastAsia="zh-CN"/>
              </w:rPr>
              <w:t>、</w:t>
            </w:r>
            <w:r>
              <w:rPr>
                <w:rFonts w:hint="eastAsia" w:ascii="宋体"/>
                <w:color w:val="000000"/>
                <w:sz w:val="20"/>
                <w:szCs w:val="20"/>
              </w:rPr>
              <w:t>挤出机</w:t>
            </w:r>
            <w:r>
              <w:rPr>
                <w:rFonts w:hint="eastAsia" w:ascii="宋体"/>
                <w:color w:val="000000"/>
                <w:sz w:val="20"/>
                <w:szCs w:val="20"/>
                <w:lang w:eastAsia="zh-CN"/>
              </w:rPr>
              <w:t>、</w:t>
            </w:r>
            <w:r>
              <w:rPr>
                <w:rFonts w:hint="eastAsia" w:ascii="宋体"/>
                <w:color w:val="000000"/>
                <w:sz w:val="20"/>
                <w:szCs w:val="20"/>
              </w:rPr>
              <w:t>喷码机</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面积1600平米，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bookmarkStart w:id="3" w:name="_GoBack"/>
            <w:bookmarkEnd w:id="3"/>
            <w:r>
              <w:rPr>
                <w:rFonts w:hint="eastAsia"/>
                <w:sz w:val="21"/>
                <w:szCs w:val="21"/>
              </w:rPr>
              <w:t>7.1.5</w:t>
            </w:r>
          </w:p>
        </w:tc>
        <w:tc>
          <w:tcPr>
            <w:tcW w:w="11164" w:type="dxa"/>
            <w:vAlign w:val="top"/>
          </w:tcPr>
          <w:p>
            <w:pPr>
              <w:rPr>
                <w:rFonts w:hint="eastAsia"/>
                <w:u w:val="single"/>
              </w:rPr>
            </w:pPr>
            <w:r>
              <w:rPr>
                <w:rFonts w:hint="eastAsia"/>
                <w:sz w:val="21"/>
                <w:szCs w:val="21"/>
              </w:rPr>
              <w:t>主要检测设备包括：</w:t>
            </w:r>
            <w:r>
              <w:rPr>
                <w:rFonts w:hint="eastAsia" w:ascii="宋体"/>
                <w:color w:val="000000"/>
                <w:sz w:val="20"/>
                <w:szCs w:val="20"/>
                <w:lang w:val="en-US" w:eastAsia="zh-CN"/>
              </w:rPr>
              <w:t>数显是电子万能试验机、高压试验台、火花试验机、电阻电桥、游标卡尺</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挤出</w:t>
            </w:r>
            <w:r>
              <w:rPr>
                <w:rFonts w:hint="default" w:ascii="Times New Roman" w:hAnsi="Times New Roman" w:cs="Times New Roman"/>
                <w:sz w:val="21"/>
                <w:szCs w:val="21"/>
                <w:highlight w:val="none"/>
              </w:rPr>
              <w:t>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eastAsia"/>
                <w:sz w:val="21"/>
                <w:szCs w:val="21"/>
                <w:lang w:val="en-US" w:eastAsia="zh-CN"/>
              </w:rPr>
              <w:t>职业病、意外伤害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176842C7"/>
    <w:rsid w:val="266E0BF6"/>
    <w:rsid w:val="2858425E"/>
    <w:rsid w:val="2BEE44E1"/>
    <w:rsid w:val="2D1871B5"/>
    <w:rsid w:val="4AB02D32"/>
    <w:rsid w:val="5CED2200"/>
    <w:rsid w:val="65080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2020-05-01T06:41:59Z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