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9" w:type="dxa"/>
            <w:vAlign w:val="center"/>
          </w:tcPr>
          <w:p>
            <w:pPr>
              <w:rPr>
                <w:sz w:val="24"/>
                <w:szCs w:val="24"/>
              </w:rPr>
            </w:pPr>
            <w:r>
              <w:rPr>
                <w:rFonts w:hint="eastAsia"/>
                <w:sz w:val="24"/>
                <w:szCs w:val="24"/>
              </w:rPr>
              <w:t>受审核部门：</w:t>
            </w:r>
            <w:r>
              <w:rPr>
                <w:rFonts w:hint="eastAsia"/>
                <w:sz w:val="24"/>
                <w:szCs w:val="24"/>
                <w:lang w:val="en-US" w:eastAsia="zh-CN"/>
              </w:rPr>
              <w:t>管理层，</w:t>
            </w:r>
            <w:r>
              <w:rPr>
                <w:rFonts w:hint="eastAsia"/>
                <w:sz w:val="24"/>
                <w:szCs w:val="24"/>
              </w:rPr>
              <w:t>主管领导</w:t>
            </w:r>
            <w:r>
              <w:rPr>
                <w:rFonts w:hint="eastAsia"/>
                <w:sz w:val="24"/>
                <w:szCs w:val="24"/>
                <w:lang w:eastAsia="zh-CN"/>
              </w:rPr>
              <w:t>：</w:t>
            </w:r>
            <w:bookmarkStart w:id="0" w:name="法人"/>
            <w:r>
              <w:rPr>
                <w:rFonts w:ascii="宋体"/>
                <w:b/>
                <w:color w:val="000000"/>
                <w:sz w:val="20"/>
                <w:szCs w:val="20"/>
              </w:rPr>
              <w:t>纪志超</w:t>
            </w:r>
            <w:bookmarkEnd w:id="0"/>
            <w:r>
              <w:rPr>
                <w:rFonts w:hint="eastAsia"/>
                <w:sz w:val="24"/>
                <w:szCs w:val="24"/>
              </w:rPr>
              <w:t>/</w:t>
            </w:r>
            <w:bookmarkStart w:id="1" w:name="管理者代表"/>
            <w:r>
              <w:rPr>
                <w:rFonts w:ascii="宋体"/>
                <w:b/>
                <w:color w:val="000000"/>
                <w:sz w:val="20"/>
                <w:szCs w:val="20"/>
              </w:rPr>
              <w:t>白晓磊</w:t>
            </w:r>
            <w:bookmarkEnd w:id="1"/>
          </w:p>
        </w:tc>
        <w:tc>
          <w:tcPr>
            <w:tcW w:w="10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2020.3.9</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9" w:type="dxa"/>
            <w:vAlign w:val="center"/>
          </w:tcPr>
          <w:p>
            <w:pPr>
              <w:rPr>
                <w:sz w:val="24"/>
                <w:szCs w:val="24"/>
              </w:rPr>
            </w:pPr>
            <w:r>
              <w:rPr>
                <w:rFonts w:hint="eastAsia"/>
                <w:sz w:val="24"/>
                <w:szCs w:val="24"/>
              </w:rPr>
              <w:t>审核条款：</w:t>
            </w:r>
            <w:r>
              <w:rPr>
                <w:rFonts w:hint="eastAsia"/>
                <w:sz w:val="24"/>
                <w:szCs w:val="24"/>
                <w:lang w:val="en-US" w:eastAsia="zh-CN"/>
              </w:rPr>
              <w:t>EO</w:t>
            </w:r>
            <w:r>
              <w:rPr>
                <w:rFonts w:hint="eastAsia"/>
                <w:sz w:val="21"/>
                <w:szCs w:val="21"/>
              </w:rPr>
              <w:t>4.1/4.3/4.4/5.2/6.2/9.2/9.3/7.1</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EO：4.1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0499" w:type="dxa"/>
            <w:vAlign w:val="top"/>
          </w:tcPr>
          <w:p>
            <w:pPr>
              <w:rPr>
                <w:rFonts w:hint="eastAsia" w:ascii="Times New Roman" w:hAnsi="Times New Roman" w:cs="Times New Roman"/>
                <w:szCs w:val="22"/>
                <w:lang w:eastAsia="zh-CN"/>
              </w:rPr>
            </w:pPr>
            <w:r>
              <w:rPr>
                <w:rFonts w:hint="eastAsia"/>
                <w:sz w:val="21"/>
                <w:szCs w:val="21"/>
              </w:rPr>
              <w:t>总</w:t>
            </w:r>
            <w:r>
              <w:rPr>
                <w:rFonts w:hint="eastAsia" w:ascii="Times New Roman" w:hAnsi="Times New Roman" w:cs="Times New Roman"/>
                <w:szCs w:val="22"/>
              </w:rPr>
              <w:t>经理</w:t>
            </w:r>
            <w:r>
              <w:rPr>
                <w:rFonts w:hint="eastAsia" w:ascii="Times New Roman" w:hAnsi="Times New Roman" w:cs="Times New Roman"/>
                <w:szCs w:val="22"/>
                <w:lang w:val="en-US" w:eastAsia="zh-CN"/>
              </w:rPr>
              <w:t>：</w:t>
            </w:r>
            <w:r>
              <w:rPr>
                <w:rFonts w:hint="eastAsia" w:ascii="Times New Roman" w:hAnsi="Times New Roman" w:cs="Times New Roman"/>
                <w:szCs w:val="22"/>
              </w:rPr>
              <w:t>纪志超</w:t>
            </w:r>
            <w:r>
              <w:rPr>
                <w:rFonts w:hint="eastAsia" w:ascii="Times New Roman" w:hAnsi="Times New Roman" w:cs="Times New Roman"/>
                <w:szCs w:val="22"/>
                <w:lang w:val="en-US" w:eastAsia="zh-CN"/>
              </w:rPr>
              <w:t>，</w:t>
            </w:r>
            <w:r>
              <w:rPr>
                <w:rFonts w:hint="eastAsia" w:ascii="Times New Roman" w:hAnsi="Times New Roman" w:cs="Times New Roman"/>
                <w:szCs w:val="22"/>
              </w:rPr>
              <w:t>管理者代表：白晓磊</w:t>
            </w:r>
          </w:p>
          <w:p>
            <w:pPr>
              <w:rPr>
                <w:rFonts w:hint="default" w:ascii="Times New Roman" w:hAnsi="Times New Roman" w:cs="Times New Roman"/>
                <w:szCs w:val="22"/>
                <w:lang w:val="en-US" w:eastAsia="zh-CN"/>
              </w:rPr>
            </w:pPr>
            <w:r>
              <w:rPr>
                <w:rFonts w:hint="eastAsia" w:ascii="Times New Roman" w:hAnsi="Times New Roman" w:cs="Times New Roman"/>
                <w:szCs w:val="22"/>
              </w:rPr>
              <w:t>■</w:t>
            </w:r>
            <w:r>
              <w:rPr>
                <w:rFonts w:hint="default" w:ascii="Times New Roman" w:hAnsi="Times New Roman" w:cs="Times New Roman"/>
                <w:szCs w:val="22"/>
              </w:rPr>
              <w:t>受审核方</w:t>
            </w:r>
            <w:r>
              <w:rPr>
                <w:rFonts w:hint="eastAsia" w:ascii="Times New Roman" w:hAnsi="Times New Roman" w:cs="Times New Roman"/>
                <w:szCs w:val="22"/>
                <w:lang w:eastAsia="zh-CN"/>
              </w:rPr>
              <w:t>河北巨石金属制品有限公司</w:t>
            </w:r>
            <w:r>
              <w:rPr>
                <w:rFonts w:hint="default" w:ascii="Times New Roman" w:hAnsi="Times New Roman" w:cs="Times New Roman"/>
                <w:szCs w:val="22"/>
              </w:rPr>
              <w:t>成立于201</w:t>
            </w:r>
            <w:r>
              <w:rPr>
                <w:rFonts w:hint="eastAsia" w:ascii="Times New Roman" w:hAnsi="Times New Roman" w:cs="Times New Roman"/>
                <w:szCs w:val="22"/>
                <w:lang w:val="en-US" w:eastAsia="zh-CN"/>
              </w:rPr>
              <w:t>9</w:t>
            </w:r>
            <w:r>
              <w:rPr>
                <w:rFonts w:hint="default" w:ascii="Times New Roman" w:hAnsi="Times New Roman" w:cs="Times New Roman"/>
                <w:szCs w:val="22"/>
              </w:rPr>
              <w:t>年5月23日，经营地址位于</w:t>
            </w:r>
            <w:r>
              <w:rPr>
                <w:rFonts w:hint="eastAsia" w:ascii="Times New Roman" w:hAnsi="Times New Roman" w:cs="Times New Roman"/>
                <w:szCs w:val="22"/>
              </w:rPr>
              <w:t>任丘市麻家坞镇北马庄村</w:t>
            </w:r>
            <w:r>
              <w:rPr>
                <w:rFonts w:hint="default" w:ascii="Times New Roman" w:hAnsi="Times New Roman" w:cs="Times New Roman"/>
                <w:szCs w:val="22"/>
              </w:rPr>
              <w:t>，办公面积</w:t>
            </w:r>
            <w:r>
              <w:rPr>
                <w:rFonts w:hint="eastAsia" w:ascii="Times New Roman" w:hAnsi="Times New Roman" w:cs="Times New Roman"/>
                <w:szCs w:val="22"/>
                <w:lang w:val="en-US" w:eastAsia="zh-CN"/>
              </w:rPr>
              <w:t>15</w:t>
            </w:r>
            <w:r>
              <w:rPr>
                <w:rFonts w:hint="default" w:ascii="Times New Roman" w:hAnsi="Times New Roman" w:cs="Times New Roman"/>
                <w:szCs w:val="22"/>
              </w:rPr>
              <w:t>0平米、</w:t>
            </w:r>
            <w:r>
              <w:rPr>
                <w:rFonts w:hint="eastAsia" w:ascii="Times New Roman" w:hAnsi="Times New Roman" w:cs="Times New Roman"/>
                <w:szCs w:val="22"/>
                <w:lang w:val="en-US" w:eastAsia="zh-CN"/>
              </w:rPr>
              <w:t>库房2</w:t>
            </w:r>
            <w:r>
              <w:rPr>
                <w:rFonts w:hint="default" w:ascii="Times New Roman" w:hAnsi="Times New Roman" w:cs="Times New Roman"/>
                <w:szCs w:val="22"/>
              </w:rPr>
              <w:t>00平米，主要从事中空锚杆、组合锚杆、钢筋连接套筒、预埋槽道、接地端子、螺栓、金属预埋件、声测管、PVC管</w:t>
            </w:r>
            <w:r>
              <w:rPr>
                <w:rFonts w:hint="eastAsia" w:ascii="Times New Roman" w:hAnsi="Times New Roman" w:cs="Times New Roman"/>
                <w:szCs w:val="22"/>
                <w:lang w:val="en-US" w:eastAsia="zh-CN"/>
              </w:rPr>
              <w:t>的销售</w:t>
            </w:r>
            <w:r>
              <w:rPr>
                <w:rFonts w:hint="default" w:ascii="Times New Roman" w:hAnsi="Times New Roman" w:cs="Times New Roman"/>
                <w:szCs w:val="22"/>
              </w:rPr>
              <w:t>，服务于</w:t>
            </w:r>
            <w:r>
              <w:rPr>
                <w:rFonts w:hint="eastAsia" w:ascii="Times New Roman" w:hAnsi="Times New Roman" w:cs="Times New Roman"/>
                <w:szCs w:val="22"/>
                <w:lang w:val="en-US" w:eastAsia="zh-CN"/>
              </w:rPr>
              <w:t>道路交通</w:t>
            </w:r>
            <w:r>
              <w:rPr>
                <w:rFonts w:hint="default" w:ascii="Times New Roman" w:hAnsi="Times New Roman" w:cs="Times New Roman"/>
                <w:szCs w:val="22"/>
              </w:rPr>
              <w:t>行业</w:t>
            </w:r>
            <w:r>
              <w:rPr>
                <w:rFonts w:hint="eastAsia" w:ascii="Times New Roman" w:hAnsi="Times New Roman" w:cs="Times New Roman"/>
                <w:szCs w:val="22"/>
                <w:lang w:val="en-US"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w:t>
            </w:r>
            <w:r>
              <w:rPr>
                <w:rFonts w:hint="eastAsia" w:ascii="Times New Roman" w:hAnsi="Times New Roman" w:cs="Times New Roman"/>
                <w:szCs w:val="22"/>
                <w:lang w:eastAsia="zh-CN"/>
              </w:rPr>
              <w:t>管代</w:t>
            </w:r>
            <w:r>
              <w:rPr>
                <w:rFonts w:hint="eastAsia" w:ascii="Times New Roman" w:hAnsi="Times New Roman" w:cs="Times New Roman"/>
                <w:szCs w:val="22"/>
              </w:rPr>
              <w:t>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E：中空锚杆、组合锚杆、钢筋连接套筒、预埋槽道、接地端子、螺栓、金属预埋件、声测管、PVC管的销售及其场所所涉及的环境管理活动</w:t>
            </w:r>
          </w:p>
          <w:p>
            <w:pPr>
              <w:rPr>
                <w:rFonts w:hint="eastAsia" w:ascii="宋体" w:hAnsi="宋体"/>
                <w:sz w:val="21"/>
                <w:szCs w:val="21"/>
              </w:rPr>
            </w:pPr>
            <w:r>
              <w:rPr>
                <w:rFonts w:hint="default" w:ascii="Times New Roman" w:hAnsi="Times New Roman" w:cs="Times New Roman"/>
                <w:b w:val="0"/>
                <w:bCs w:val="0"/>
                <w:sz w:val="21"/>
                <w:szCs w:val="21"/>
              </w:rPr>
              <w:t>O：中空锚杆、组合锚杆、钢筋连接套筒、预埋槽道、接地端子、螺栓、金属预埋件、声测管、PVC管的销售及其场所所涉及的职业健康安全管理活动</w:t>
            </w:r>
          </w:p>
          <w:p>
            <w:r>
              <w:t>■</w:t>
            </w:r>
            <w:r>
              <w:rPr>
                <w:rFonts w:hint="eastAsia"/>
                <w:lang w:eastAsia="zh-CN"/>
              </w:rPr>
              <w:t>不适用条款</w:t>
            </w:r>
            <w:r>
              <w:rPr>
                <w:rFonts w:hint="eastAsia"/>
              </w:rPr>
              <w:t>：</w:t>
            </w:r>
            <w:r>
              <w:rPr>
                <w:rFonts w:hint="eastAsia"/>
                <w:lang w:val="en-US" w:eastAsia="zh-CN"/>
              </w:rPr>
              <w:t>无</w:t>
            </w:r>
            <w:r>
              <w:rPr>
                <w:rFonts w:hint="eastAsia"/>
              </w:rPr>
              <w:t>。</w:t>
            </w:r>
          </w:p>
          <w:p>
            <w:pPr>
              <w:rPr>
                <w:rFonts w:hint="default"/>
                <w:lang w:val="en-US"/>
              </w:rPr>
            </w:pPr>
            <w:r>
              <w:t>■</w:t>
            </w:r>
            <w:r>
              <w:rPr>
                <w:rFonts w:hint="eastAsia"/>
                <w:u w:val="none"/>
              </w:rPr>
              <w:t>外包过程：</w:t>
            </w:r>
            <w:r>
              <w:rPr>
                <w:rFonts w:hint="eastAsia"/>
                <w:u w:val="none"/>
                <w:lang w:val="en-US" w:eastAsia="zh-CN"/>
              </w:rPr>
              <w:t>产品运输</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10</w:t>
            </w:r>
            <w:r>
              <w:rPr>
                <w:rFonts w:hint="eastAsia"/>
              </w:rPr>
              <w:t>人，无倒班情况</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rPr>
            </w:pPr>
            <w:r>
              <w:rPr>
                <w:rFonts w:hint="eastAsia"/>
                <w:lang w:val="en-US" w:eastAsia="zh-CN"/>
              </w:rPr>
              <w:t>EO：5.2     6.2</w:t>
            </w:r>
          </w:p>
          <w:p>
            <w:pPr>
              <w:rPr>
                <w:rFonts w:ascii="Times New Roman" w:hAnsi="Times New Roman" w:eastAsia="宋体" w:cs="Times New Roman"/>
                <w:kern w:val="2"/>
                <w:sz w:val="21"/>
                <w:lang w:val="en-US" w:eastAsia="zh-CN" w:bidi="ar-SA"/>
              </w:rPr>
            </w:pPr>
          </w:p>
        </w:tc>
        <w:tc>
          <w:tcPr>
            <w:tcW w:w="10499" w:type="dxa"/>
            <w:vAlign w:val="top"/>
          </w:tcPr>
          <w:p>
            <w:pPr>
              <w:rPr>
                <w:rFonts w:hint="eastAsia" w:cs="宋体"/>
                <w:szCs w:val="22"/>
              </w:rPr>
            </w:pPr>
            <w:r>
              <w:rPr>
                <w:rFonts w:hint="eastAsia"/>
              </w:rPr>
              <w:t>管理手册</w:t>
            </w:r>
            <w:r>
              <w:rPr>
                <w:rFonts w:hint="eastAsia" w:cs="宋体"/>
                <w:szCs w:val="22"/>
              </w:rPr>
              <w:t>明确了公司的管理方针：</w:t>
            </w:r>
            <w:r>
              <w:rPr>
                <w:rFonts w:hint="eastAsia" w:cs="宋体"/>
              </w:rPr>
              <w:t>安全第一、保障健康</w:t>
            </w:r>
            <w:r>
              <w:rPr>
                <w:rFonts w:hint="eastAsia" w:cs="宋体"/>
                <w:lang w:eastAsia="zh-CN"/>
              </w:rPr>
              <w:t>、</w:t>
            </w:r>
            <w:r>
              <w:rPr>
                <w:rFonts w:hint="eastAsia" w:cs="宋体"/>
              </w:rPr>
              <w:t>质量为本、规范经营</w:t>
            </w:r>
            <w:r>
              <w:rPr>
                <w:rFonts w:hint="eastAsia" w:cs="宋体"/>
                <w:lang w:eastAsia="zh-CN"/>
              </w:rPr>
              <w:t>、</w:t>
            </w:r>
            <w:r>
              <w:rPr>
                <w:rFonts w:hint="eastAsia" w:cs="宋体"/>
              </w:rPr>
              <w:t>减少污染、节能降耗</w:t>
            </w:r>
            <w:r>
              <w:rPr>
                <w:rFonts w:hint="eastAsia" w:cs="宋体"/>
                <w:lang w:eastAsia="zh-CN"/>
              </w:rPr>
              <w:t>、</w:t>
            </w:r>
            <w:r>
              <w:rPr>
                <w:rFonts w:hint="eastAsia" w:cs="宋体"/>
              </w:rPr>
              <w:t>遵纪守法、持续改进</w:t>
            </w:r>
            <w:r>
              <w:rPr>
                <w:rFonts w:hint="eastAsia" w:cs="宋体"/>
                <w:szCs w:val="22"/>
                <w:lang w:eastAsia="zh-CN"/>
              </w:rPr>
              <w:t>。</w:t>
            </w:r>
            <w:r>
              <w:rPr>
                <w:rFonts w:hint="eastAsia" w:cs="宋体"/>
                <w:szCs w:val="22"/>
              </w:rPr>
              <w:t>总经理证实，与企业的宗旨一直，随管理手册的发布宣传贯彻。</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rPr>
            </w:pPr>
            <w:r>
              <w:rPr>
                <w:rFonts w:hint="eastAsia" w:cs="宋体"/>
              </w:rPr>
              <w:t>公司环境目标指标：1.固体废弃物100％分类处置；2.杜绝火灾事故。</w:t>
            </w:r>
          </w:p>
          <w:p>
            <w:pPr>
              <w:rPr>
                <w:rFonts w:hint="eastAsia" w:cs="宋体"/>
                <w:lang w:eastAsia="zh-CN"/>
              </w:rPr>
            </w:pPr>
            <w:r>
              <w:rPr>
                <w:rFonts w:hint="eastAsia" w:cs="宋体"/>
              </w:rPr>
              <w:t>公司职业健康安全指标：1.杜绝触电、火灾事故；</w:t>
            </w:r>
            <w:r>
              <w:rPr>
                <w:rFonts w:hint="eastAsia" w:cs="宋体"/>
                <w:lang w:val="en-US" w:eastAsia="zh-CN"/>
              </w:rPr>
              <w:t>2.</w:t>
            </w:r>
            <w:r>
              <w:rPr>
                <w:rFonts w:hint="eastAsia" w:cs="宋体"/>
              </w:rPr>
              <w:t>杜绝职业病的发生</w:t>
            </w:r>
            <w:r>
              <w:rPr>
                <w:rFonts w:hint="eastAsia" w:cs="宋体"/>
                <w:lang w:eastAsia="zh-CN"/>
              </w:rPr>
              <w:t>。</w:t>
            </w:r>
          </w:p>
          <w:p>
            <w:pPr>
              <w:rPr>
                <w:rFonts w:ascii="Times New Roman" w:hAnsi="Times New Roman" w:eastAsia="宋体" w:cs="Times New Roman"/>
                <w:kern w:val="2"/>
                <w:sz w:val="21"/>
                <w:lang w:val="en-US" w:eastAsia="zh-CN" w:bidi="ar-SA"/>
              </w:rPr>
            </w:pPr>
            <w:r>
              <w:rPr>
                <w:rFonts w:hint="eastAsia"/>
              </w:rPr>
              <w:t>基本符合标准要求。在方针框架下展开，并分解到各职能部门。</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EO：9.2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499" w:type="dxa"/>
            <w:vAlign w:val="top"/>
          </w:tcPr>
          <w:p>
            <w:pPr>
              <w:rPr>
                <w:rFonts w:hint="eastAsia"/>
              </w:rPr>
            </w:pPr>
            <w:r>
              <w:rPr>
                <w:rFonts w:hint="eastAsia"/>
              </w:rPr>
              <w:t>201</w:t>
            </w:r>
            <w:r>
              <w:rPr>
                <w:rFonts w:hint="eastAsia"/>
                <w:lang w:val="en-US" w:eastAsia="zh-CN"/>
              </w:rPr>
              <w:t>9</w:t>
            </w:r>
            <w:r>
              <w:rPr>
                <w:rFonts w:hint="eastAsia"/>
              </w:rPr>
              <w:t>年</w:t>
            </w:r>
            <w:r>
              <w:rPr>
                <w:rFonts w:hint="eastAsia"/>
                <w:lang w:val="en-US" w:eastAsia="zh-CN"/>
              </w:rPr>
              <w:t>12</w:t>
            </w:r>
            <w:r>
              <w:rPr>
                <w:rFonts w:hint="eastAsia"/>
              </w:rPr>
              <w:t>月</w:t>
            </w:r>
            <w:r>
              <w:rPr>
                <w:rFonts w:hint="eastAsia"/>
                <w:lang w:val="en-US" w:eastAsia="zh-CN"/>
              </w:rPr>
              <w:t>9-10</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201</w:t>
            </w:r>
            <w:r>
              <w:rPr>
                <w:rFonts w:hint="eastAsia"/>
                <w:lang w:val="en-US" w:eastAsia="zh-CN"/>
              </w:rPr>
              <w:t>9</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日进行管理评审，由总经理主持会议，有管理评审计划、管理评审输入资料</w:t>
            </w:r>
            <w:r>
              <w:t>—</w:t>
            </w:r>
            <w:r>
              <w:rPr>
                <w:rFonts w:hint="eastAsia"/>
              </w:rPr>
              <w:t>各部门工作总结、管理评审报告等，内容基本可信，有效。</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销售</w:t>
            </w:r>
            <w:r>
              <w:rPr>
                <w:rFonts w:hint="eastAsia"/>
                <w:lang w:eastAsia="zh-CN"/>
              </w:rPr>
              <w:t>各</w:t>
            </w:r>
            <w:r>
              <w:t>过程中能够遵守相关的法律法规和其它要求，提供合规性评价记录，评价时间：201</w:t>
            </w:r>
            <w:r>
              <w:rPr>
                <w:rFonts w:hint="eastAsia"/>
                <w:lang w:val="en-US" w:eastAsia="zh-CN"/>
              </w:rPr>
              <w:t>9.9.25</w:t>
            </w:r>
            <w:r>
              <w:t>，符合要求。体系运行以来，未发生</w:t>
            </w:r>
            <w:r>
              <w:rPr>
                <w:rFonts w:hint="eastAsia"/>
              </w:rPr>
              <w:t>环境</w:t>
            </w:r>
            <w:r>
              <w:rPr>
                <w:rFonts w:hint="eastAsia"/>
                <w:lang w:eastAsia="zh-CN"/>
              </w:rPr>
              <w:t>安全</w:t>
            </w:r>
            <w:r>
              <w:t>事故，无重大投诉和行政处罚</w:t>
            </w:r>
            <w:r>
              <w:rPr>
                <w:rFonts w:hint="eastAsia"/>
              </w:rPr>
              <w:t>情况</w:t>
            </w:r>
            <w:r>
              <w:rPr>
                <w:rFonts w:hint="eastAsia"/>
                <w:lang w:val="en-US" w:eastAsia="zh-CN"/>
              </w:rPr>
              <w:t>.</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10-11</w:t>
            </w:r>
            <w:r>
              <w:rPr>
                <w:rFonts w:hint="eastAsia"/>
              </w:rPr>
              <w:t>日</w:t>
            </w:r>
          </w:p>
        </w:tc>
        <w:tc>
          <w:tcPr>
            <w:tcW w:w="1090" w:type="dxa"/>
          </w:tcPr>
          <w:p/>
        </w:tc>
      </w:tr>
    </w:tbl>
    <w:p/>
    <w:p/>
    <w:p/>
    <w:p/>
    <w:p/>
    <w:p/>
    <w:p/>
    <w:p/>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sz w:val="24"/>
                <w:szCs w:val="24"/>
                <w:lang w:val="en-US" w:eastAsia="zh-CN"/>
              </w:rPr>
              <w:t>关静薇</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2020.3.9</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w:t>
            </w:r>
            <w:r>
              <w:rPr>
                <w:rFonts w:hint="eastAsia"/>
                <w:sz w:val="21"/>
                <w:szCs w:val="21"/>
                <w:lang w:eastAsia="zh-CN"/>
              </w:rPr>
              <w:t>：</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合规义务、法律法规要求</w:t>
            </w:r>
          </w:p>
        </w:tc>
        <w:tc>
          <w:tcPr>
            <w:tcW w:w="960" w:type="dxa"/>
            <w:noWrap w:val="0"/>
            <w:vAlign w:val="top"/>
          </w:tcPr>
          <w:p>
            <w:pPr>
              <w:rPr>
                <w:rFonts w:hint="eastAsia"/>
                <w:lang w:val="en-US" w:eastAsia="zh-CN"/>
              </w:rPr>
            </w:pPr>
            <w:r>
              <w:rPr>
                <w:rFonts w:hint="eastAsia"/>
                <w:lang w:val="en-US" w:eastAsia="zh-CN"/>
              </w:rPr>
              <w:t>EO：7.5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1.管理手册JS-QES-2019</w:t>
            </w:r>
            <w:r>
              <w:rPr>
                <w:rFonts w:hint="eastAsia"/>
                <w:szCs w:val="22"/>
                <w:lang w:val="en-US" w:eastAsia="zh-CN"/>
              </w:rPr>
              <w:t xml:space="preserve"> </w:t>
            </w:r>
            <w:r>
              <w:rPr>
                <w:rFonts w:hint="eastAsia"/>
                <w:szCs w:val="22"/>
              </w:rPr>
              <w:t>A/0版，2019年</w:t>
            </w:r>
            <w:r>
              <w:rPr>
                <w:rFonts w:hint="eastAsia"/>
                <w:szCs w:val="22"/>
                <w:lang w:val="en-US" w:eastAsia="zh-CN"/>
              </w:rPr>
              <w:t>7</w:t>
            </w:r>
            <w:r>
              <w:rPr>
                <w:rFonts w:hint="eastAsia"/>
                <w:szCs w:val="22"/>
              </w:rPr>
              <w:t>月1日发表实施（含管理方针、目标）</w:t>
            </w:r>
          </w:p>
          <w:p>
            <w:pPr>
              <w:rPr>
                <w:rFonts w:hint="eastAsia"/>
                <w:szCs w:val="22"/>
              </w:rPr>
            </w:pPr>
            <w:r>
              <w:rPr>
                <w:rFonts w:hint="eastAsia"/>
                <w:szCs w:val="22"/>
              </w:rPr>
              <w:t>2.程序文件JS/QES-CX-2019</w:t>
            </w:r>
            <w:r>
              <w:rPr>
                <w:rFonts w:hint="eastAsia"/>
                <w:szCs w:val="22"/>
                <w:lang w:val="en-US" w:eastAsia="zh-CN"/>
              </w:rPr>
              <w:t xml:space="preserve"> </w:t>
            </w:r>
            <w:r>
              <w:rPr>
                <w:rFonts w:hint="eastAsia"/>
                <w:szCs w:val="22"/>
              </w:rPr>
              <w:t>A/0版，2019年</w:t>
            </w:r>
            <w:r>
              <w:rPr>
                <w:rFonts w:hint="eastAsia"/>
                <w:szCs w:val="22"/>
                <w:lang w:val="en-US" w:eastAsia="zh-CN"/>
              </w:rPr>
              <w:t>7</w:t>
            </w:r>
            <w:r>
              <w:rPr>
                <w:rFonts w:hint="eastAsia"/>
                <w:szCs w:val="22"/>
              </w:rPr>
              <w:t>月1日发表实施，包括标准要求的程序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w:t>
            </w:r>
            <w:bookmarkStart w:id="2" w:name="_GoBack"/>
            <w:bookmarkEnd w:id="2"/>
            <w:r>
              <w:rPr>
                <w:rFonts w:hint="eastAsia"/>
                <w:szCs w:val="22"/>
                <w:lang w:eastAsia="zh-CN"/>
              </w:rPr>
              <w:t>、</w:t>
            </w:r>
            <w:r>
              <w:rPr>
                <w:rFonts w:hint="eastAsia"/>
                <w:szCs w:val="22"/>
              </w:rPr>
              <w:t>触电事故应急救援处理预案等。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、劳动保护用品管理规定、GB/T24001-2016《环境管理体系 要求及使用指南》、ISO45001：2018《职业健康安全管理体系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w:t>
            </w:r>
            <w:r>
              <w:rPr>
                <w:rFonts w:hint="eastAsia"/>
                <w:sz w:val="21"/>
                <w:szCs w:val="21"/>
              </w:rPr>
              <w:t>危险源辩识与风险评价控制程序》，经文审符合标准要求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u w:val="none" w:color="auto"/>
              </w:rPr>
              <w:t>火灾</w:t>
            </w:r>
            <w:r>
              <w:rPr>
                <w:rFonts w:hint="eastAsia"/>
                <w:u w:val="none" w:color="auto"/>
                <w:lang w:eastAsia="zh-CN"/>
              </w:rPr>
              <w:t>、</w:t>
            </w:r>
            <w:r>
              <w:rPr>
                <w:rFonts w:hint="eastAsia"/>
                <w:u w:val="none" w:color="auto"/>
                <w:lang w:val="en-US" w:eastAsia="zh-CN"/>
              </w:rPr>
              <w:t>触电</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环境、职业健康安全目标指标的合理性，管理方案的可行性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EO：6.2.2</w:t>
            </w:r>
          </w:p>
        </w:tc>
        <w:tc>
          <w:tcPr>
            <w:tcW w:w="10891" w:type="dxa"/>
            <w:noWrap w:val="0"/>
            <w:vAlign w:val="top"/>
          </w:tcPr>
          <w:p>
            <w:r>
              <w:rPr>
                <w:rFonts w:hint="eastAsia" w:cs="宋体"/>
              </w:rPr>
              <w:t>环境目标指标：</w:t>
            </w:r>
            <w:r>
              <w:rPr>
                <w:rFonts w:hint="eastAsia" w:hAnsi="宋体"/>
              </w:rPr>
              <w:t>固体废弃物分类回收率100%，合理处置。</w:t>
            </w:r>
          </w:p>
          <w:p>
            <w:r>
              <w:rPr>
                <w:rFonts w:hint="eastAsia" w:cs="宋体"/>
              </w:rPr>
              <w:t>管理方案：废电池用塑料袋装好，做好标识，交办公室集中回收，统一处理。废日光灯放入专用垃圾箱，做好标识，交办公室集中回收，统一处理。废硒鼓用塑料袋装好，做好标识，交办公室集中回收，统一处理。尽量用电子邮件和内部局域网传递资料，材料纸张采用双面打印。废纸放入可回收箱，集中外收废纸收购站。不可回收垃圾集中收集，倒入市政垃圾箱或运至垃圾处理。教育员工不随意丢垃圾，加强检查。完成时间：</w:t>
            </w:r>
            <w:r>
              <w:rPr>
                <w:rFonts w:hint="eastAsia"/>
                <w:lang w:val="en-US" w:eastAsia="zh-CN"/>
              </w:rPr>
              <w:t>2019.12</w:t>
            </w:r>
            <w:r>
              <w:rPr>
                <w:rFonts w:hint="eastAsia" w:cs="宋体"/>
              </w:rPr>
              <w:t>费用</w:t>
            </w:r>
            <w:r>
              <w:rPr>
                <w:rFonts w:hint="eastAsia"/>
                <w:lang w:val="en-US" w:eastAsia="zh-CN"/>
              </w:rPr>
              <w:t>8</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pPr>
              <w:spacing w:line="320" w:lineRule="exact"/>
              <w:rPr>
                <w:rFonts w:hint="eastAsia" w:ascii="Times New Roman" w:hAnsi="宋体" w:cs="Times New Roman"/>
                <w:bCs/>
                <w:szCs w:val="22"/>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指标：无火灾事故发生</w:t>
            </w:r>
          </w:p>
          <w:p>
            <w:pPr>
              <w:spacing w:line="320" w:lineRule="exact"/>
            </w:pPr>
            <w:r>
              <w:rPr>
                <w:rFonts w:hint="eastAsia" w:ascii="Times New Roman" w:hAnsi="宋体" w:cs="Times New Roman"/>
                <w:bCs/>
                <w:szCs w:val="22"/>
              </w:rPr>
              <w:t>管理方案：1、按照《应急准备与响应预案》及《消</w:t>
            </w:r>
            <w:r>
              <w:rPr>
                <w:rFonts w:hint="eastAsia" w:hAnsi="宋体"/>
                <w:bCs/>
              </w:rPr>
              <w:t>防安全管理制度》控制，营业厅配置禁止烟火标志和灭火器。2、对工人进行消防知识的培训和教育。3.定期进行安全消防检查。</w:t>
            </w:r>
          </w:p>
          <w:p>
            <w:pPr>
              <w:rPr>
                <w:rFonts w:hint="eastAsia" w:eastAsia="宋体"/>
                <w:lang w:eastAsia="zh-CN"/>
              </w:rPr>
            </w:pPr>
            <w:r>
              <w:rPr>
                <w:rFonts w:hint="eastAsia" w:cs="宋体"/>
              </w:rPr>
              <w:t>完成时间：</w:t>
            </w:r>
            <w:r>
              <w:rPr>
                <w:rFonts w:hint="eastAsia"/>
                <w:lang w:val="en-US" w:eastAsia="zh-CN"/>
              </w:rPr>
              <w:t>2019.12</w:t>
            </w:r>
            <w:r>
              <w:t xml:space="preserve"> </w:t>
            </w:r>
            <w:r>
              <w:rPr>
                <w:rFonts w:hint="eastAsia" w:cs="宋体"/>
              </w:rPr>
              <w:t>费用：</w:t>
            </w:r>
            <w:r>
              <w:rPr>
                <w:rFonts w:hint="eastAsia"/>
                <w:lang w:val="en-US" w:eastAsia="zh-CN"/>
              </w:rPr>
              <w:t>4</w:t>
            </w:r>
            <w:r>
              <w:t>00</w:t>
            </w:r>
            <w:r>
              <w:rPr>
                <w:rFonts w:hint="eastAsia" w:cs="宋体"/>
              </w:rPr>
              <w:t>元</w:t>
            </w:r>
            <w:r>
              <w:t xml:space="preserve"> </w:t>
            </w:r>
            <w:r>
              <w:rPr>
                <w:rFonts w:hint="eastAsia" w:cs="宋体"/>
              </w:rPr>
              <w:t>责任部门：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rPr>
                <w:rFonts w:hint="eastAsia"/>
                <w:lang w:eastAsia="zh-CN"/>
              </w:rPr>
              <w:t>职业健康安全</w:t>
            </w:r>
            <w:r>
              <w:t>目标指标管理方案</w:t>
            </w:r>
            <w:r>
              <w:rPr>
                <w:rFonts w:hint="eastAsia"/>
              </w:rPr>
              <w:t>基本可行。</w:t>
            </w:r>
          </w:p>
        </w:tc>
        <w:tc>
          <w:tcPr>
            <w:tcW w:w="698" w:type="dxa"/>
            <w:noWrap w:val="0"/>
            <w:vAlign w:val="top"/>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供销部       负责人</w:t>
            </w:r>
            <w:r>
              <w:rPr>
                <w:rFonts w:hint="eastAsia"/>
                <w:sz w:val="24"/>
                <w:szCs w:val="24"/>
                <w:lang w:eastAsia="zh-CN"/>
              </w:rPr>
              <w:t>：</w:t>
            </w:r>
            <w:r>
              <w:rPr>
                <w:rFonts w:hint="eastAsia"/>
                <w:sz w:val="24"/>
                <w:szCs w:val="24"/>
                <w:lang w:val="en-US" w:eastAsia="zh-CN"/>
              </w:rPr>
              <w:t>纪玮燕</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2020.3.9</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w:t>
            </w:r>
            <w:r>
              <w:rPr>
                <w:rFonts w:hint="eastAsia"/>
                <w:sz w:val="21"/>
                <w:szCs w:val="21"/>
                <w:lang w:eastAsia="zh-CN"/>
              </w:rPr>
              <w:t>：</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w:t>
            </w:r>
            <w:r>
              <w:rPr>
                <w:rFonts w:hint="eastAsia"/>
                <w:sz w:val="21"/>
                <w:szCs w:val="21"/>
              </w:rPr>
              <w:t>危险源辩识与风险评价控制程序》，经文审符合标准要求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u w:val="none" w:color="auto"/>
              </w:rPr>
              <w:t>火灾</w:t>
            </w:r>
            <w:r>
              <w:rPr>
                <w:rFonts w:hint="eastAsia"/>
                <w:u w:val="none" w:color="auto"/>
                <w:lang w:eastAsia="zh-CN"/>
              </w:rPr>
              <w:t>、</w:t>
            </w:r>
            <w:r>
              <w:rPr>
                <w:rFonts w:hint="eastAsia"/>
                <w:u w:val="none" w:color="auto"/>
                <w:lang w:val="en-US" w:eastAsia="zh-CN"/>
              </w:rPr>
              <w:t>触电</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lang w:eastAsia="zh-CN"/>
              </w:rPr>
              <w:t>应急准备和响应</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EO：8.2</w:t>
            </w:r>
          </w:p>
        </w:tc>
        <w:tc>
          <w:tcPr>
            <w:tcW w:w="10891" w:type="dxa"/>
            <w:noWrap w:val="0"/>
            <w:vAlign w:val="top"/>
          </w:tcPr>
          <w:p>
            <w:pPr>
              <w:rPr>
                <w:rFonts w:hint="eastAsia"/>
              </w:rPr>
            </w:pPr>
            <w:r>
              <w:rPr>
                <w:rFonts w:hint="eastAsia"/>
              </w:rPr>
              <w:t>策划了《应急准备和响应控制程序》</w:t>
            </w:r>
          </w:p>
          <w:p>
            <w:pPr>
              <w:rPr>
                <w:rFonts w:ascii="Times New Roman" w:hAnsi="Times New Roman" w:eastAsia="宋体" w:cs="Times New Roman"/>
                <w:kern w:val="2"/>
                <w:sz w:val="21"/>
                <w:lang w:val="en-US" w:eastAsia="zh-CN" w:bidi="ar-SA"/>
              </w:rPr>
            </w:pPr>
            <w:r>
              <w:rPr>
                <w:rFonts w:hint="eastAsia"/>
                <w:lang w:val="en-US" w:eastAsia="zh-CN"/>
              </w:rPr>
              <w:t>编制了</w:t>
            </w:r>
            <w:r>
              <w:rPr>
                <w:rFonts w:hint="eastAsia"/>
              </w:rPr>
              <w:t>火灾</w:t>
            </w:r>
            <w:r>
              <w:rPr>
                <w:rFonts w:hint="eastAsia"/>
                <w:lang w:val="en-US" w:eastAsia="zh-CN"/>
              </w:rPr>
              <w:t>事故</w:t>
            </w:r>
            <w:r>
              <w:rPr>
                <w:rFonts w:hint="eastAsia"/>
              </w:rPr>
              <w:t>、</w:t>
            </w:r>
            <w:r>
              <w:rPr>
                <w:rFonts w:hint="eastAsia"/>
                <w:lang w:val="en-US" w:eastAsia="zh-CN"/>
              </w:rPr>
              <w:t>触电伤害</w:t>
            </w:r>
            <w:r>
              <w:rPr>
                <w:rFonts w:hint="eastAsia"/>
              </w:rPr>
              <w:t>应急救援预案。</w:t>
            </w:r>
          </w:p>
        </w:tc>
        <w:tc>
          <w:tcPr>
            <w:tcW w:w="698" w:type="dxa"/>
            <w:noWrap w:val="0"/>
            <w:vAlign w:val="top"/>
          </w:tcPr>
          <w:p/>
        </w:tc>
      </w:tr>
    </w:tbl>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B71C1C"/>
    <w:rsid w:val="68806F4C"/>
    <w:rsid w:val="6E7A1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2020-03-18T09:08:04Z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