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重庆圣润环保工程有限公司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重庆市大渡口区双山路168号6幢3单元2-1</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重庆市九龙坡区火炬大道鲁能九龙花园9号10幢16-3</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张小蓉</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17783356825</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1784204283@qq.com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30301-2023-EO</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E：资质范围内的环境污染治理所涉及场所的相关环境管理活动</w:t>
            </w:r>
          </w:p>
          <w:p w:rsidR="00A62166">
            <w:pPr>
              <w:rPr>
                <w:sz w:val="20"/>
              </w:rPr>
            </w:pPr>
            <w:r>
              <w:rPr>
                <w:sz w:val="20"/>
              </w:rPr>
              <w:t>O：资质范围内的环境污染治理所涉及场所的相关职业健康安全管理活动</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E：39.01.00;39.04.00</w:t>
            </w:r>
          </w:p>
          <w:p w:rsidR="00A62166">
            <w:pPr>
              <w:jc w:val="left"/>
              <w:rPr>
                <w:sz w:val="20"/>
              </w:rPr>
            </w:pPr>
            <w:r>
              <w:rPr>
                <w:sz w:val="20"/>
              </w:rPr>
              <w:t>O：39.01.00;39.04.00</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GB/T45001-2020/ISO45001：</w:t>
            </w:r>
            <w:r w:rsidR="00B546ED">
              <w:rPr>
                <w:rFonts w:ascii="宋体" w:hAnsi="宋体" w:hint="eastAsia"/>
                <w:b/>
                <w:sz w:val="21"/>
                <w:szCs w:val="21"/>
              </w:rPr>
              <w:t>2018</w:t>
            </w:r>
            <w:r>
              <w:rPr>
                <w:rFonts w:ascii="宋体" w:hAnsi="宋体" w:hint="eastAsia"/>
                <w:b/>
                <w:sz w:val="21"/>
                <w:szCs w:val="21"/>
              </w:rPr>
              <w:t xml:space="preserve">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2023年03月31日 上午至2023年04月01日 下午</w:t>
            </w:r>
            <w:bookmarkEnd w:id="34"/>
            <w:r>
              <w:rPr>
                <w:rFonts w:hint="eastAsia"/>
                <w:b/>
                <w:sz w:val="20"/>
              </w:rPr>
              <w:t>(</w:t>
            </w:r>
            <w:r>
              <w:rPr>
                <w:rFonts w:hint="eastAsia"/>
                <w:b/>
                <w:sz w:val="20"/>
              </w:rPr>
              <w:t>共</w:t>
            </w:r>
            <w:bookmarkStart w:id="35" w:name="审核天数"/>
            <w:r>
              <w:rPr>
                <w:rFonts w:hint="eastAsia"/>
                <w:b/>
                <w:sz w:val="20"/>
              </w:rPr>
              <w:t>2.0</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文平</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2021-N1EMS-3093566</w:t>
            </w:r>
          </w:p>
          <w:p w:rsidR="00A62166">
            <w:pPr>
              <w:jc w:val="center"/>
              <w:rPr>
                <w:sz w:val="20"/>
                <w:lang w:val="de-DE"/>
              </w:rPr>
            </w:pPr>
            <w:r>
              <w:rPr>
                <w:sz w:val="20"/>
                <w:lang w:val="de-DE"/>
              </w:rPr>
              <w:t>2022-N1OHSMS-3093566</w:t>
            </w:r>
          </w:p>
        </w:tc>
        <w:tc>
          <w:tcPr>
            <w:tcW w:w="1696" w:type="dxa"/>
            <w:gridSpan w:val="2"/>
            <w:vAlign w:val="center"/>
          </w:tcPr>
          <w:p w:rsidR="00A62166">
            <w:pPr>
              <w:jc w:val="center"/>
              <w:rPr>
                <w:sz w:val="20"/>
                <w:lang w:val="de-DE"/>
              </w:rPr>
            </w:pPr>
            <w:r>
              <w:rPr>
                <w:sz w:val="20"/>
                <w:lang w:val="de-DE"/>
              </w:rPr>
              <w:t>E:39.01.00,39.04.00</w:t>
            </w:r>
          </w:p>
          <w:p w:rsidR="00A62166">
            <w:pPr>
              <w:jc w:val="center"/>
              <w:rPr>
                <w:sz w:val="20"/>
                <w:lang w:val="de-DE"/>
              </w:rPr>
            </w:pPr>
            <w:r>
              <w:rPr>
                <w:sz w:val="20"/>
                <w:lang w:val="de-DE"/>
              </w:rPr>
              <w:t>O:39.01.00,39.04.00</w:t>
            </w:r>
          </w:p>
        </w:tc>
        <w:tc>
          <w:tcPr>
            <w:tcW w:w="1299" w:type="dxa"/>
            <w:gridSpan w:val="4"/>
            <w:vAlign w:val="center"/>
          </w:tcPr>
          <w:p w:rsidR="00A62166">
            <w:pPr>
              <w:jc w:val="center"/>
              <w:rPr>
                <w:sz w:val="20"/>
                <w:lang w:val="de-DE"/>
              </w:rPr>
            </w:pPr>
            <w:r>
              <w:rPr>
                <w:sz w:val="20"/>
                <w:lang w:val="de-DE"/>
              </w:rPr>
              <w:t>13983696917</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冉景洲</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2020-N1EMS-1267598</w:t>
            </w:r>
          </w:p>
          <w:p w:rsidR="00A62166">
            <w:pPr>
              <w:jc w:val="center"/>
              <w:rPr>
                <w:sz w:val="20"/>
                <w:lang w:val="de-DE"/>
              </w:rPr>
            </w:pPr>
            <w:r>
              <w:rPr>
                <w:sz w:val="20"/>
                <w:lang w:val="de-DE"/>
              </w:rPr>
              <w:t>2021-N1OHSMS-1267598</w:t>
            </w:r>
          </w:p>
        </w:tc>
        <w:tc>
          <w:tcPr>
            <w:tcW w:w="1696" w:type="dxa"/>
            <w:gridSpan w:val="2"/>
            <w:vAlign w:val="center"/>
          </w:tcPr>
          <w:p w:rsidR="00A62166">
            <w:pPr>
              <w:jc w:val="center"/>
              <w:rPr>
                <w:sz w:val="20"/>
                <w:lang w:val="de-DE"/>
              </w:rPr>
            </w:pPr>
          </w:p>
        </w:tc>
        <w:tc>
          <w:tcPr>
            <w:tcW w:w="1299" w:type="dxa"/>
            <w:gridSpan w:val="4"/>
            <w:vAlign w:val="center"/>
          </w:tcPr>
          <w:p w:rsidR="00A62166">
            <w:pPr>
              <w:jc w:val="center"/>
              <w:rPr>
                <w:sz w:val="20"/>
                <w:lang w:val="de-DE"/>
              </w:rPr>
            </w:pPr>
            <w:r>
              <w:rPr>
                <w:sz w:val="20"/>
                <w:lang w:val="de-DE"/>
              </w:rPr>
              <w:t>18983000183</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杨森</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60</cp:revision>
  <dcterms:created xsi:type="dcterms:W3CDTF">2015-06-17T14:31:00Z</dcterms:created>
  <dcterms:modified xsi:type="dcterms:W3CDTF">2022-08-14T07:41:00Z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