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湖北福水滤料有限公司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郝卫民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2023年03月28日 上午至2023年03月28日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