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河北泽硕药业科技有限公司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0168-2022-EnMs-2023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