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重庆食聚熙餐饮管理有限公司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ISC-JSZJ-626</w:t>
            </w:r>
          </w:p>
          <w:p w:rsidR="002D4D32">
            <w:pPr>
              <w:snapToGrid w:val="0"/>
              <w:spacing w:line="320" w:lineRule="exact"/>
              <w:ind w:left="1309"/>
              <w:rPr>
                <w:sz w:val="22"/>
                <w:szCs w:val="22"/>
                <w:highlight w:val="yellow"/>
              </w:rPr>
            </w:pPr>
            <w:r>
              <w:rPr>
                <w:sz w:val="22"/>
                <w:szCs w:val="22"/>
                <w:highlight w:val="yellow"/>
              </w:rPr>
              <w:t>ISC-JSZJ-626</w:t>
            </w:r>
          </w:p>
          <w:p w:rsidR="002D4D32">
            <w:pPr>
              <w:snapToGrid w:val="0"/>
              <w:spacing w:line="320" w:lineRule="exact"/>
              <w:ind w:left="1309"/>
              <w:rPr>
                <w:sz w:val="22"/>
                <w:szCs w:val="22"/>
                <w:highlight w:val="yellow"/>
              </w:rPr>
            </w:pPr>
            <w:r>
              <w:rPr>
                <w:sz w:val="22"/>
                <w:szCs w:val="22"/>
                <w:highlight w:val="yellow"/>
              </w:rPr>
              <w:t>ISC-JSZJ-626</w:t>
            </w:r>
          </w:p>
          <w:p w:rsidR="002D4D32">
            <w:pPr>
              <w:snapToGrid w:val="0"/>
              <w:spacing w:line="320" w:lineRule="exact"/>
              <w:ind w:left="1309"/>
              <w:rPr>
                <w:sz w:val="22"/>
                <w:szCs w:val="22"/>
                <w:highlight w:val="yellow"/>
              </w:rPr>
            </w:pPr>
            <w:r>
              <w:rPr>
                <w:sz w:val="22"/>
                <w:szCs w:val="22"/>
                <w:highlight w:val="yellow"/>
              </w:rPr>
              <w:t>重庆食味餐饮管理服务有限公司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