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附录A</w:t>
      </w:r>
    </w:p>
    <w:p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</w:rPr>
        <w:t>IS65-50-125 离心泵零叶轮内孔测量</w:t>
      </w:r>
      <w:r>
        <w:rPr>
          <w:rFonts w:hint="eastAsia"/>
          <w:b/>
          <w:bCs w:val="0"/>
          <w:sz w:val="28"/>
          <w:szCs w:val="28"/>
        </w:rPr>
        <w:t>的不确定度评定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测量过程：IS65-50-125 离心泵零叶轮内孔测量</w:t>
      </w:r>
    </w:p>
    <w:p>
      <w:pPr>
        <w:spacing w:line="360" w:lineRule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测量方法：</w:t>
      </w:r>
      <w:bookmarkStart w:id="3" w:name="_GoBack"/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ZYZD--01</w:t>
      </w:r>
      <w:r>
        <w:rPr>
          <w:rFonts w:hint="eastAsia" w:ascii="宋体" w:hAnsi="宋体"/>
          <w:sz w:val="21"/>
          <w:szCs w:val="21"/>
        </w:rPr>
        <w:t>内孔</w:t>
      </w:r>
      <w:r>
        <w:rPr>
          <w:rFonts w:hint="eastAsia" w:ascii="宋体" w:hAnsi="宋体"/>
          <w:sz w:val="21"/>
          <w:szCs w:val="21"/>
          <w:lang w:eastAsia="zh-CN"/>
        </w:rPr>
        <w:t>测量的作业指导书</w:t>
      </w:r>
    </w:p>
    <w:bookmarkEnd w:id="3"/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测量设备：</w:t>
      </w:r>
      <w:bookmarkStart w:id="0" w:name="_Hlk96704391"/>
      <w:r>
        <w:rPr>
          <w:rFonts w:hint="eastAsia" w:ascii="宋体" w:hAnsi="宋体" w:eastAsia="宋体" w:cs="宋体"/>
          <w:sz w:val="21"/>
          <w:szCs w:val="21"/>
        </w:rPr>
        <w:t>内径百分表</w:t>
      </w:r>
      <w:bookmarkEnd w:id="0"/>
      <w:r>
        <w:rPr>
          <w:rFonts w:hint="eastAsia" w:ascii="宋体" w:hAnsi="宋体" w:eastAsia="宋体" w:cs="宋体"/>
          <w:sz w:val="21"/>
          <w:szCs w:val="21"/>
        </w:rPr>
        <w:t>、测量范围（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35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sz w:val="21"/>
          <w:szCs w:val="21"/>
        </w:rPr>
        <w:t>）mm、不确定度：</w:t>
      </w:r>
      <w:bookmarkStart w:id="1" w:name="_Hlk96705337"/>
      <w:r>
        <w:rPr>
          <w:rFonts w:hint="eastAsia" w:ascii="宋体" w:hAnsi="宋体" w:eastAsia="宋体" w:cs="宋体"/>
          <w:i/>
          <w:iCs/>
          <w:sz w:val="21"/>
          <w:szCs w:val="21"/>
        </w:rPr>
        <w:t>U</w:t>
      </w:r>
      <w:r>
        <w:rPr>
          <w:rFonts w:hint="eastAsia" w:ascii="宋体" w:hAnsi="宋体" w:eastAsia="宋体" w:cs="宋体"/>
          <w:sz w:val="21"/>
          <w:szCs w:val="21"/>
        </w:rPr>
        <w:t>=0.00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mm(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=2)</w:t>
      </w:r>
      <w:bookmarkEnd w:id="1"/>
    </w:p>
    <w:p>
      <w:pPr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2、数学模型</w:t>
      </w:r>
    </w:p>
    <w:p>
      <w:pPr>
        <w:snapToGrid w:val="0"/>
        <w:spacing w:line="360" w:lineRule="auto"/>
        <w:ind w:firstLine="1687" w:firstLineChars="8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y</w:t>
      </w:r>
      <w:r>
        <w:rPr>
          <w:rFonts w:hint="eastAsia" w:ascii="宋体" w:hAnsi="宋体" w:eastAsia="宋体" w:cs="宋体"/>
          <w:iCs/>
          <w:color w:val="000000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 xml:space="preserve">x  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（2）</w:t>
      </w:r>
    </w:p>
    <w:p>
      <w:pPr>
        <w:spacing w:line="360" w:lineRule="auto"/>
        <w:ind w:firstLine="1050" w:firstLineChars="5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Cs/>
          <w:color w:val="000000"/>
          <w:sz w:val="21"/>
          <w:szCs w:val="21"/>
        </w:rPr>
        <w:t>式中：</w:t>
      </w:r>
      <w:r>
        <w:rPr>
          <w:rFonts w:hint="eastAsia" w:ascii="宋体" w:hAnsi="宋体" w:eastAsia="宋体" w:cs="宋体"/>
          <w:i/>
          <w:iCs/>
          <w:color w:val="000000"/>
          <w:sz w:val="21"/>
          <w:szCs w:val="21"/>
        </w:rPr>
        <w:t>y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——</w:t>
      </w:r>
      <w:r>
        <w:rPr>
          <w:rFonts w:hint="eastAsia" w:ascii="宋体" w:hAnsi="宋体" w:eastAsia="宋体" w:cs="宋体"/>
          <w:sz w:val="21"/>
          <w:szCs w:val="21"/>
        </w:rPr>
        <w:t>内径百分表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的测量结果</w:t>
      </w:r>
    </w:p>
    <w:p>
      <w:pPr>
        <w:spacing w:line="360" w:lineRule="auto"/>
        <w:ind w:left="315" w:leftChars="150" w:firstLine="1365" w:firstLineChars="650"/>
        <w:rPr>
          <w:rFonts w:hint="eastAsia" w:ascii="宋体" w:hAnsi="宋体" w:eastAsia="宋体" w:cs="宋体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i/>
          <w:iCs/>
          <w:color w:val="000000"/>
          <w:sz w:val="21"/>
          <w:szCs w:val="21"/>
        </w:rPr>
        <w:t xml:space="preserve">x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——</w:t>
      </w:r>
      <w:r>
        <w:rPr>
          <w:rFonts w:hint="eastAsia" w:ascii="宋体" w:hAnsi="宋体" w:eastAsia="宋体" w:cs="宋体"/>
          <w:sz w:val="21"/>
          <w:szCs w:val="21"/>
        </w:rPr>
        <w:t>内径百分表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的读数值</w:t>
      </w:r>
    </w:p>
    <w:p>
      <w:pPr>
        <w:pStyle w:val="11"/>
        <w:numPr>
          <w:ilvl w:val="0"/>
          <w:numId w:val="1"/>
        </w:numPr>
        <w:snapToGrid w:val="0"/>
        <w:spacing w:line="360" w:lineRule="auto"/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  <w:t>各输入量的标准不确定度评定</w:t>
      </w:r>
    </w:p>
    <w:p>
      <w:pPr>
        <w:pStyle w:val="11"/>
        <w:spacing w:line="360" w:lineRule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输入量的不确定度来源主要是：测量重复性引起的不确定度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</w:rPr>
          <m:t>u(x)</m:t>
        </m:r>
      </m:oMath>
      <w:r>
        <w:rPr>
          <w:rFonts w:hint="eastAsia" w:ascii="宋体" w:hAnsi="宋体" w:eastAsia="宋体" w:cs="宋体"/>
          <w:b/>
          <w:bCs/>
          <w:sz w:val="21"/>
          <w:szCs w:val="21"/>
        </w:rPr>
        <w:t>；</w:t>
      </w:r>
      <w:r>
        <w:rPr>
          <w:rFonts w:hint="eastAsia" w:ascii="宋体" w:hAnsi="宋体" w:eastAsia="宋体" w:cs="宋体"/>
          <w:bCs/>
          <w:sz w:val="21"/>
          <w:szCs w:val="21"/>
        </w:rPr>
        <w:t>测量设备</w:t>
      </w:r>
      <w:r>
        <w:rPr>
          <w:rFonts w:hint="eastAsia" w:ascii="宋体" w:hAnsi="宋体" w:eastAsia="宋体" w:cs="宋体"/>
          <w:sz w:val="21"/>
          <w:szCs w:val="21"/>
        </w:rPr>
        <w:t>引入的标准不确定度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u(y</m:t>
        </m:r>
        <m:r>
          <m:rPr>
            <m:sty m:val="p"/>
          </m:rPr>
          <w:rPr>
            <w:rFonts w:hint="eastAsia" w:ascii="Cambria Math" w:hAnsi="Cambria Math" w:eastAsia="宋体" w:cs="宋体"/>
            <w:sz w:val="21"/>
            <w:szCs w:val="21"/>
          </w:rPr>
          <m:t>）</m:t>
        </m:r>
      </m:oMath>
      <w:r>
        <w:rPr>
          <w:rFonts w:hint="eastAsia" w:ascii="宋体" w:hAnsi="宋体" w:eastAsia="宋体" w:cs="宋体"/>
          <w:bCs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3.1测量重复性引起的标准不确定度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</w:rPr>
          <m:t>u(x)</m:t>
        </m:r>
      </m:oMath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的评定</w:t>
      </w:r>
    </w:p>
    <w:p>
      <w:pPr>
        <w:spacing w:line="360" w:lineRule="auto"/>
        <w:ind w:left="479" w:leftChars="228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取产品样块用内径百分表上连续测量10次，得到一组测量列为：</w:t>
      </w:r>
    </w:p>
    <w:p>
      <w:pPr>
        <w:spacing w:line="360" w:lineRule="auto"/>
        <w:ind w:left="479" w:leftChars="228" w:firstLine="5880" w:firstLineChars="2800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sz w:val="21"/>
          <w:szCs w:val="21"/>
        </w:rPr>
        <w:t>(单位</w:t>
      </w:r>
      <w:r>
        <w:rPr>
          <w:rFonts w:hint="eastAsia" w:ascii="宋体" w:hAnsi="宋体"/>
          <w:sz w:val="24"/>
        </w:rPr>
        <w:t>：mm)</w:t>
      </w:r>
      <w:r>
        <w:rPr>
          <w:rFonts w:ascii="宋体" w:hAnsi="宋体"/>
          <w:sz w:val="24"/>
        </w:rPr>
        <w:t xml:space="preserve"> 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7"/>
        <w:gridCol w:w="883"/>
        <w:gridCol w:w="1032"/>
        <w:gridCol w:w="922"/>
        <w:gridCol w:w="857"/>
        <w:gridCol w:w="883"/>
        <w:gridCol w:w="948"/>
        <w:gridCol w:w="883"/>
        <w:gridCol w:w="867"/>
        <w:gridCol w:w="86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</w:trPr>
        <w:tc>
          <w:tcPr>
            <w:tcW w:w="9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.04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.04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.04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.04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.04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平均值：</w:t>
      </w:r>
      <w:r>
        <w:rPr>
          <w:rFonts w:hint="eastAsia" w:ascii="宋体" w:hAnsi="宋体"/>
          <w:position w:val="-6"/>
          <w:sz w:val="24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position w:val="-28"/>
          <w:sz w:val="24"/>
        </w:rPr>
        <w:object>
          <v:shape id="_x0000_i1026" o:spt="75" type="#_x0000_t75" style="height:34pt;width:27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42.030</w:t>
      </w:r>
      <w:r>
        <w:rPr>
          <w:rFonts w:hint="eastAsia" w:ascii="宋体" w:hAnsi="宋体"/>
          <w:sz w:val="24"/>
        </w:rPr>
        <w:t>mm</w:t>
      </w:r>
    </w:p>
    <w:p>
      <w:pPr>
        <w:pStyle w:val="10"/>
        <w:spacing w:line="360" w:lineRule="auto"/>
        <w:ind w:left="0" w:firstLine="840" w:firstLineChars="400"/>
        <w:rPr>
          <w:rFonts w:hint="eastAsia" w:eastAsia="宋体"/>
          <w:color w:val="000000"/>
          <w:sz w:val="21"/>
          <w:szCs w:val="21"/>
          <w:lang w:eastAsia="zh-CN"/>
        </w:rPr>
      </w:pPr>
      <w:r>
        <w:rPr>
          <w:color w:val="000000" w:themeColor="text1"/>
          <w:sz w:val="21"/>
          <w:szCs w:val="21"/>
        </w:rPr>
        <w:t>单个测量值的实验标准</w:t>
      </w:r>
      <w:r>
        <w:rPr>
          <w:rFonts w:hint="eastAsia"/>
          <w:color w:val="000000" w:themeColor="text1"/>
          <w:sz w:val="21"/>
          <w:szCs w:val="21"/>
        </w:rPr>
        <w:t>偏</w:t>
      </w:r>
      <w:r>
        <w:rPr>
          <w:color w:val="000000" w:themeColor="text1"/>
          <w:sz w:val="21"/>
          <w:szCs w:val="21"/>
        </w:rPr>
        <w:t>差</w:t>
      </w:r>
      <w:r>
        <w:rPr>
          <w:sz w:val="21"/>
          <w:szCs w:val="21"/>
        </w:rPr>
        <w:t>：</w:t>
      </w:r>
      <w:r>
        <w:rPr>
          <w:color w:val="000000"/>
          <w:position w:val="-26"/>
          <w:sz w:val="21"/>
          <w:szCs w:val="21"/>
        </w:rPr>
        <w:drawing>
          <wp:inline distT="0" distB="0" distL="0" distR="0">
            <wp:extent cx="1294765" cy="697230"/>
            <wp:effectExtent l="0" t="0" r="635" b="6985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=</w:t>
      </w:r>
      <w:r>
        <w:rPr>
          <w:color w:val="000000"/>
          <w:sz w:val="21"/>
          <w:szCs w:val="21"/>
        </w:rPr>
        <w:t>0.</w:t>
      </w:r>
      <w:r>
        <w:rPr>
          <w:rFonts w:hint="eastAsia"/>
          <w:color w:val="000000"/>
          <w:sz w:val="21"/>
          <w:szCs w:val="21"/>
          <w:lang w:val="en-US" w:eastAsia="zh-CN"/>
        </w:rPr>
        <w:t>016</w:t>
      </w:r>
      <w:r>
        <w:rPr>
          <w:rFonts w:hint="eastAsia"/>
          <w:szCs w:val="21"/>
          <w:lang w:eastAsia="zh-CN"/>
        </w:rPr>
        <w:t>mm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840" w:firstLineChars="40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m:rPr/>
              <w:rPr>
                <w:rFonts w:ascii="Cambria Math" w:hAnsi="Cambria Math"/>
                <w:color w:val="000000" w:themeColor="text1"/>
                <w:kern w:val="0"/>
                <w:szCs w:val="21"/>
              </w:rPr>
              <m:t>x</m:t>
            </m:r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e>
        </m:bar>
      </m:oMath>
      <w:r>
        <w:rPr>
          <w:color w:val="000000" w:themeColor="text1"/>
          <w:kern w:val="0"/>
          <w:szCs w:val="21"/>
        </w:rPr>
        <w:t>）标准不确定度分量</w:t>
      </w:r>
      <m:oMath>
        <m:r>
          <m:rPr/>
          <w:rPr>
            <w:rFonts w:ascii="Cambria Math" w:hAnsi="Cambria Math"/>
            <w:color w:val="000000" w:themeColor="text1"/>
            <w:szCs w:val="21"/>
          </w:rPr>
          <m:t>u(x)</m:t>
        </m:r>
      </m:oMath>
      <w:r>
        <w:rPr>
          <w:color w:val="000000" w:themeColor="text1"/>
          <w:kern w:val="0"/>
          <w:szCs w:val="21"/>
        </w:rPr>
        <w:t>：</w:t>
      </w:r>
      <w:bookmarkStart w:id="2" w:name="_Hlk36298355"/>
      <w:r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m:rPr/>
              <w:rPr>
                <w:rFonts w:ascii="Cambria Math" w:hAnsi="Cambria Math"/>
                <w:color w:val="000000" w:themeColor="text1"/>
                <w:kern w:val="0"/>
                <w:szCs w:val="21"/>
              </w:rPr>
              <m:t>x</m:t>
            </m:r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e>
        </m:bar>
      </m:oMath>
      <w:r>
        <w:rPr>
          <w:color w:val="000000" w:themeColor="text1"/>
          <w:kern w:val="0"/>
          <w:szCs w:val="21"/>
        </w:rPr>
        <w:t>为1组数据的平均值，取n=1）</w:t>
      </w:r>
    </w:p>
    <w:bookmarkEnd w:id="2"/>
    <w:p>
      <w:pPr>
        <w:widowControl/>
        <w:tabs>
          <w:tab w:val="center" w:pos="4360"/>
          <w:tab w:val="right" w:pos="8300"/>
        </w:tabs>
        <w:spacing w:line="360" w:lineRule="auto"/>
        <w:ind w:firstLine="630" w:firstLineChars="300"/>
        <w:rPr>
          <w:rFonts w:hint="eastAsia" w:eastAsia="宋体"/>
          <w:color w:val="000000"/>
          <w:szCs w:val="21"/>
          <w:lang w:eastAsia="zh-CN"/>
        </w:rPr>
      </w:pPr>
      <w:r>
        <w:rPr>
          <w:kern w:val="0"/>
          <w:szCs w:val="21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color w:val="0C0C0C" w:themeColor="text1" w:themeTint="F2"/>
                <w:kern w:val="0"/>
                <w:sz w:val="28"/>
                <w:szCs w:val="28"/>
              </w:rPr>
              <m:t>u</m:t>
            </m: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color w:val="0C0C0C" w:themeColor="text1" w:themeTint="F2"/>
                <w:kern w:val="0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8"/>
                <w:szCs w:val="28"/>
              </w:rPr>
            </m:ctrlPr>
          </m:sub>
        </m:sSub>
      </m:oMath>
      <w:r>
        <w:rPr>
          <w:color w:val="0C0C0C" w:themeColor="text1" w:themeTint="F2"/>
          <w:kern w:val="0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4"/>
              </w:rPr>
            </m:ctrlPr>
          </m:fPr>
          <m:num>
            <m:r>
              <m:rPr/>
              <w:rPr>
                <w:rFonts w:ascii="Cambria Math" w:hAnsi="Cambria Math"/>
                <w:color w:val="0C0C0C" w:themeColor="text1" w:themeTint="F2"/>
                <w:kern w:val="0"/>
                <w:sz w:val="24"/>
              </w:rPr>
              <m:t>S</m:t>
            </m: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C0C0C" w:themeColor="text1" w:themeTint="F2"/>
                    <w:kern w:val="0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color w:val="0C0C0C" w:themeColor="text1" w:themeTint="F2"/>
                    <w:kern w:val="0"/>
                    <w:sz w:val="24"/>
                  </w:rPr>
                </m:ctrlPr>
              </m:deg>
              <m:e>
                <m:r>
                  <m:rPr/>
                  <w:rPr>
                    <w:rFonts w:ascii="Cambria Math" w:hAnsi="Cambria Math"/>
                    <w:color w:val="0C0C0C" w:themeColor="text1" w:themeTint="F2"/>
                    <w:kern w:val="0"/>
                    <w:sz w:val="24"/>
                  </w:rPr>
                  <m:t>n</m:t>
                </m:r>
                <m:ctrlPr>
                  <w:rPr>
                    <w:rFonts w:ascii="Cambria Math" w:hAnsi="Cambria Math"/>
                    <w:i/>
                    <w:color w:val="0C0C0C" w:themeColor="text1" w:themeTint="F2"/>
                    <w:kern w:val="0"/>
                    <w:sz w:val="24"/>
                  </w:rPr>
                </m:ctrlPr>
              </m:e>
            </m:rad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4"/>
              </w:rPr>
            </m:ctrlPr>
          </m:den>
        </m:f>
        <m:r>
          <m:rPr/>
          <w:rPr>
            <w:rFonts w:ascii="Cambria Math" w:hAnsi="Cambria Math"/>
            <w:color w:val="0C0C0C" w:themeColor="text1" w:themeTint="F2"/>
            <w:kern w:val="0"/>
            <w:sz w:val="24"/>
          </w:rPr>
          <m:t>=</m:t>
        </m:r>
      </m:oMath>
      <w:r>
        <w:rPr>
          <w:color w:val="000000"/>
          <w:sz w:val="24"/>
        </w:rPr>
        <w:t>0.</w:t>
      </w:r>
      <w:r>
        <w:rPr>
          <w:rFonts w:hint="eastAsia"/>
          <w:color w:val="000000"/>
          <w:sz w:val="24"/>
          <w:lang w:val="en-US" w:eastAsia="zh-CN"/>
        </w:rPr>
        <w:t>016</w:t>
      </w:r>
      <w:r>
        <w:rPr>
          <w:rFonts w:hint="eastAsia"/>
          <w:szCs w:val="21"/>
          <w:lang w:eastAsia="zh-CN"/>
        </w:rPr>
        <w:t>mm</w:t>
      </w:r>
    </w:p>
    <w:p>
      <w:pPr>
        <w:spacing w:line="360" w:lineRule="auto"/>
        <w:rPr>
          <w:i/>
          <w:szCs w:val="21"/>
        </w:rPr>
      </w:pPr>
      <w:r>
        <w:rPr>
          <w:szCs w:val="21"/>
        </w:rPr>
        <w:t>3.2</w:t>
      </w:r>
      <w:r>
        <w:rPr>
          <w:bCs/>
          <w:szCs w:val="21"/>
        </w:rPr>
        <w:t>测量设备引入的标准</w:t>
      </w:r>
      <w:r>
        <w:rPr>
          <w:szCs w:val="21"/>
        </w:rPr>
        <w:t>不确定度影响分量</w:t>
      </w:r>
      <m:oMath>
        <m:r>
          <m:rPr/>
          <w:rPr>
            <w:rFonts w:ascii="Cambria Math" w:hAnsi="Cambria Math"/>
            <w:szCs w:val="21"/>
          </w:rPr>
          <m:t>u(y</m:t>
        </m:r>
        <m:r>
          <m:rPr>
            <m:sty m:val="p"/>
          </m:rPr>
          <w:rPr>
            <w:rFonts w:ascii="Cambria Math" w:hAnsi="Cambria Math"/>
            <w:szCs w:val="21"/>
          </w:rPr>
          <m:t>）</m:t>
        </m:r>
      </m:oMath>
      <w:r>
        <w:rPr>
          <w:szCs w:val="21"/>
        </w:rPr>
        <w:t>的评定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kern w:val="0"/>
          <w:szCs w:val="21"/>
        </w:rPr>
        <w:t>查</w:t>
      </w:r>
      <w:r>
        <w:rPr>
          <w:rFonts w:hint="eastAsia"/>
          <w:kern w:val="0"/>
          <w:szCs w:val="21"/>
          <w:lang w:eastAsia="zh-CN"/>
        </w:rPr>
        <w:t>校准</w:t>
      </w:r>
      <w:r>
        <w:rPr>
          <w:color w:val="000000" w:themeColor="text1"/>
          <w:szCs w:val="21"/>
        </w:rPr>
        <w:t>证书，</w:t>
      </w:r>
      <w:r>
        <w:rPr>
          <w:rFonts w:hint="eastAsia" w:ascii="宋体" w:hAnsi="宋体"/>
          <w:sz w:val="24"/>
        </w:rPr>
        <w:t>内径百分表证书引入不确定度u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360" w:firstLineChars="150"/>
        <w:rPr>
          <w:szCs w:val="21"/>
        </w:rPr>
      </w:pPr>
      <w:r>
        <w:rPr>
          <w:rFonts w:hint="eastAsia" w:ascii="宋体" w:hAnsi="宋体"/>
          <w:sz w:val="24"/>
        </w:rPr>
        <w:t>内径百分表不确定度：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</w:rPr>
        <w:t>=0.00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mm(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=2)</w:t>
      </w:r>
      <w:r>
        <w:rPr>
          <w:rFonts w:hint="eastAsia" w:ascii="宋体" w:hAnsi="宋体"/>
          <w:color w:val="000000" w:themeColor="text1"/>
          <w:sz w:val="24"/>
        </w:rPr>
        <w:t xml:space="preserve"> </w:t>
      </w:r>
      <w:r>
        <w:rPr>
          <w:szCs w:val="21"/>
        </w:rPr>
        <w:t>则</w:t>
      </w:r>
    </w:p>
    <w:p>
      <w:pPr>
        <w:spacing w:line="360" w:lineRule="auto"/>
        <w:ind w:firstLine="2250" w:firstLineChars="750"/>
        <w:rPr>
          <w:rFonts w:hint="default" w:eastAsia="宋体"/>
          <w:szCs w:val="21"/>
          <w:lang w:val="en-US" w:eastAsia="zh-CN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 w:val="30"/>
                <w:szCs w:val="21"/>
              </w:rPr>
              <m:t>u</m:t>
            </m:r>
            <m:ctrlPr>
              <w:rPr>
                <w:rFonts w:ascii="Cambria Math" w:hAnsi="Cambria Math"/>
                <w:i/>
                <w:sz w:val="3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 w:val="30"/>
                <w:szCs w:val="21"/>
              </w:rPr>
              <m:t>（y）</m:t>
            </m:r>
            <m:ctrlPr>
              <w:rPr>
                <w:rFonts w:ascii="Cambria Math" w:hAnsi="Cambria Math"/>
                <w:i/>
                <w:sz w:val="30"/>
                <w:szCs w:val="21"/>
              </w:rPr>
            </m:ctrlPr>
          </m:sub>
        </m:sSub>
        <m:r>
          <m:rPr/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0"/>
                <w:szCs w:val="30"/>
                <w:lang w:val="en-US" w:eastAsia="zh-CN"/>
              </w:rPr>
              <m:t>0.005</m:t>
            </m:r>
            <m:ctrlPr>
              <w:rPr>
                <w:rFonts w:ascii="Cambria Math" w:hAnsi="Cambria Math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0"/>
                <w:szCs w:val="30"/>
                <w:lang w:val="en-US" w:eastAsia="zh-CN"/>
              </w:rPr>
              <m:t>2</m:t>
            </m:r>
            <m:ctrlPr>
              <w:rPr>
                <w:rFonts w:ascii="Cambria Math" w:hAnsi="Cambria Math"/>
                <w:sz w:val="30"/>
                <w:szCs w:val="30"/>
              </w:rPr>
            </m:ctrlPr>
          </m:den>
        </m:f>
        <m:r>
          <m:rPr/>
          <w:rPr>
            <w:rFonts w:ascii="Cambria Math" w:hAnsi="Cambria Math"/>
            <w:sz w:val="30"/>
            <w:szCs w:val="21"/>
          </w:rPr>
          <m:t>=0.</m:t>
        </m:r>
      </m:oMath>
      <w:r>
        <w:rPr>
          <w:rFonts w:hint="eastAsia" w:hAnsi="Cambria Math"/>
          <w:i w:val="0"/>
          <w:sz w:val="30"/>
          <w:szCs w:val="21"/>
          <w:lang w:val="en-US" w:eastAsia="zh-CN"/>
        </w:rPr>
        <w:t>003</w:t>
      </w:r>
      <w:r>
        <w:rPr>
          <w:rFonts w:ascii="宋体" w:hAnsi="宋体"/>
          <w:sz w:val="24"/>
        </w:rPr>
        <w:t>mm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</w:p>
    <w:p>
      <w:pPr>
        <w:spacing w:line="360" w:lineRule="auto"/>
        <w:ind w:firstLine="1575" w:firstLineChars="750"/>
        <w:rPr>
          <w:rFonts w:hint="eastAsia" w:eastAsia="宋体"/>
          <w:szCs w:val="21"/>
          <w:lang w:eastAsia="zh-CN"/>
        </w:rPr>
      </w:pPr>
    </w:p>
    <w:p>
      <w:pPr>
        <w:spacing w:line="360" w:lineRule="auto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4</w:t>
      </w:r>
      <w:r>
        <w:rPr>
          <w:rFonts w:hint="eastAsia"/>
          <w:b/>
          <w:bCs/>
          <w:color w:val="000000"/>
          <w:szCs w:val="21"/>
        </w:rPr>
        <w:t>、</w:t>
      </w:r>
      <w:r>
        <w:rPr>
          <w:b/>
          <w:bCs/>
          <w:color w:val="000000"/>
          <w:szCs w:val="21"/>
        </w:rPr>
        <w:t>合成标准不确定度的评定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4.1标准不确定度汇总表于表2</w:t>
      </w:r>
    </w:p>
    <w:p>
      <w:pPr>
        <w:spacing w:line="360" w:lineRule="auto"/>
        <w:ind w:firstLine="2730" w:firstLineChars="1300"/>
        <w:rPr>
          <w:color w:val="000000"/>
          <w:szCs w:val="21"/>
        </w:rPr>
      </w:pPr>
      <w:r>
        <w:rPr>
          <w:color w:val="000000"/>
          <w:szCs w:val="21"/>
        </w:rPr>
        <w:t>表2   标准不确定度汇总表</w:t>
      </w:r>
    </w:p>
    <w:tbl>
      <w:tblPr>
        <w:tblStyle w:val="5"/>
        <w:tblW w:w="7880" w:type="dxa"/>
        <w:tblInd w:w="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3119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1" w:type="dxa"/>
            <w:vAlign w:val="center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相对标准不确定度分量</w:t>
            </w:r>
            <m:oMath>
              <m:r>
                <m:rPr/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标准不确定度值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1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000000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/>
                        <w:szCs w:val="21"/>
                      </w:rPr>
                      <m:t>(x)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测量重复性引入的不确定度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0.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016</w:t>
            </w:r>
            <w:r>
              <w:rPr>
                <w:rFonts w:hint="eastAsia"/>
                <w:szCs w:val="21"/>
                <w:lang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851" w:type="dxa"/>
            <w:vAlign w:val="center"/>
          </w:tcPr>
          <w:p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/>
                      <w:szCs w:val="21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/>
                      <w:szCs w:val="21"/>
                    </w:rPr>
                    <m:t>（y）</m:t>
                  </m: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ub>
              </m:sSub>
            </m:oMath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测量设备引入的不确定度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0.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003</w:t>
            </w:r>
            <w:r>
              <w:rPr>
                <w:rFonts w:hint="eastAsia"/>
                <w:szCs w:val="21"/>
                <w:lang w:eastAsia="zh-CN"/>
              </w:rPr>
              <w:t>mm</w:t>
            </w:r>
          </w:p>
        </w:tc>
      </w:tr>
    </w:tbl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4.2合成标准不确定度的计算</w:t>
      </w:r>
    </w:p>
    <w:p>
      <w:pPr>
        <w:spacing w:line="360" w:lineRule="auto"/>
        <w:ind w:firstLine="210" w:firstLineChars="100"/>
        <w:rPr>
          <w:color w:val="000000"/>
          <w:szCs w:val="21"/>
        </w:rPr>
      </w:pPr>
      <w:r>
        <w:rPr>
          <w:color w:val="000000"/>
          <w:szCs w:val="21"/>
        </w:rPr>
        <w:t>合成标准不确定度可按下式得到：</w:t>
      </w:r>
    </w:p>
    <w:p>
      <w:pPr>
        <w:pStyle w:val="10"/>
        <w:spacing w:line="360" w:lineRule="auto"/>
        <w:ind w:firstLine="560"/>
        <w:rPr>
          <w:rFonts w:hint="eastAsia" w:eastAsia="宋体"/>
          <w:b/>
          <w:bCs/>
          <w:color w:val="000000"/>
          <w:sz w:val="21"/>
          <w:szCs w:val="21"/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ub>
        </m:sSub>
        <m:r>
          <m:rPr/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（x）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up>
            </m:sSup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(y)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e>
        </m:rad>
        <m:r>
          <m:rPr/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0.</m:t>
                </m:r>
                <m:r>
                  <m:rPr/>
                  <w:rPr>
                    <w:rFonts w:hint="default" w:ascii="Cambria Math" w:hAnsi="Cambria Math"/>
                    <w:color w:val="000000"/>
                    <w:sz w:val="21"/>
                    <w:szCs w:val="21"/>
                    <w:lang w:val="en-US" w:eastAsia="zh-CN"/>
                  </w:rPr>
                  <m:t>016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up>
            </m:sSup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0.</m:t>
                </m:r>
                <m:r>
                  <m:rPr/>
                  <w:rPr>
                    <w:rFonts w:hint="default" w:ascii="Cambria Math" w:hAnsi="Cambria Math"/>
                    <w:color w:val="000000"/>
                    <w:sz w:val="21"/>
                    <w:szCs w:val="21"/>
                    <w:lang w:val="en-US" w:eastAsia="zh-CN"/>
                  </w:rPr>
                  <m:t>003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e>
        </m:rad>
      </m:oMath>
      <w:r>
        <w:rPr>
          <w:color w:val="000000"/>
          <w:sz w:val="21"/>
          <w:szCs w:val="21"/>
        </w:rPr>
        <w:t>=</w:t>
      </w:r>
      <w:r>
        <w:rPr>
          <w:rFonts w:hint="eastAsia"/>
          <w:color w:val="000000"/>
          <w:sz w:val="21"/>
          <w:szCs w:val="21"/>
          <w:lang w:val="en-US" w:eastAsia="zh-CN"/>
        </w:rPr>
        <w:t>0.016</w:t>
      </w:r>
      <w:r>
        <w:rPr>
          <w:rFonts w:hint="eastAsia"/>
          <w:szCs w:val="21"/>
          <w:lang w:eastAsia="zh-CN"/>
        </w:rPr>
        <w:t>mm</w:t>
      </w:r>
    </w:p>
    <w:p>
      <w:pPr>
        <w:pStyle w:val="10"/>
        <w:spacing w:line="360" w:lineRule="auto"/>
        <w:ind w:left="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</w:t>
      </w:r>
      <w:r>
        <w:rPr>
          <w:rFonts w:hint="eastAsia"/>
          <w:b/>
          <w:bCs/>
          <w:color w:val="000000"/>
          <w:sz w:val="21"/>
          <w:szCs w:val="21"/>
        </w:rPr>
        <w:t>、</w:t>
      </w:r>
      <w:r>
        <w:rPr>
          <w:b/>
          <w:bCs/>
          <w:color w:val="000000"/>
          <w:sz w:val="21"/>
          <w:szCs w:val="21"/>
        </w:rPr>
        <w:t>扩展不确定度的计算</w:t>
      </w:r>
    </w:p>
    <w:p>
      <w:pPr>
        <w:spacing w:line="360" w:lineRule="auto"/>
        <w:ind w:left="360"/>
        <w:rPr>
          <w:szCs w:val="21"/>
        </w:rPr>
      </w:pPr>
      <w:r>
        <w:rPr>
          <w:szCs w:val="21"/>
        </w:rPr>
        <w:t>取</w:t>
      </w:r>
      <w:r>
        <w:rPr>
          <w:kern w:val="0"/>
          <w:szCs w:val="21"/>
        </w:rPr>
        <w:t>包含因子</w:t>
      </w:r>
      <w:r>
        <w:rPr>
          <w:i/>
          <w:kern w:val="0"/>
          <w:szCs w:val="21"/>
        </w:rPr>
        <w:t>k</w:t>
      </w:r>
      <w:r>
        <w:rPr>
          <w:kern w:val="0"/>
          <w:szCs w:val="21"/>
        </w:rPr>
        <w:t>= 2,置信概率 95％</w:t>
      </w:r>
      <w:r>
        <w:rPr>
          <w:i/>
          <w:szCs w:val="21"/>
        </w:rPr>
        <w:t xml:space="preserve">,  </w:t>
      </w:r>
      <w:r>
        <w:rPr>
          <w:szCs w:val="21"/>
        </w:rPr>
        <w:t>得</w:t>
      </w:r>
    </w:p>
    <w:p>
      <w:pPr>
        <w:spacing w:line="360" w:lineRule="auto"/>
        <w:ind w:firstLine="840" w:firstLineChars="400"/>
        <w:rPr>
          <w:rFonts w:hint="eastAsia" w:eastAsia="宋体"/>
          <w:szCs w:val="21"/>
          <w:lang w:eastAsia="zh-CN"/>
        </w:rPr>
      </w:pPr>
      <w:r>
        <w:rPr>
          <w:i/>
          <w:szCs w:val="21"/>
        </w:rPr>
        <w:t>U＝</w:t>
      </w:r>
      <w:r>
        <w:rPr>
          <w:i/>
          <w:kern w:val="0"/>
          <w:szCs w:val="21"/>
        </w:rPr>
        <w:t>k</w:t>
      </w:r>
      <w:r>
        <w:rPr>
          <w:i/>
          <w:iCs/>
          <w:szCs w:val="21"/>
        </w:rPr>
        <w:t>u</w:t>
      </w:r>
      <w:r>
        <w:rPr>
          <w:szCs w:val="21"/>
          <w:vertAlign w:val="subscript"/>
        </w:rPr>
        <w:t>c</w:t>
      </w:r>
      <w:r>
        <w:rPr>
          <w:szCs w:val="21"/>
        </w:rPr>
        <w:t>＝2×</w:t>
      </w:r>
      <w:r>
        <w:rPr>
          <w:rFonts w:hint="eastAsia"/>
          <w:szCs w:val="21"/>
          <w:lang w:val="en-US" w:eastAsia="zh-CN"/>
        </w:rPr>
        <w:t>0.016</w:t>
      </w:r>
      <w:r>
        <w:rPr>
          <w:szCs w:val="21"/>
        </w:rPr>
        <w:t>＝</w:t>
      </w:r>
      <w:r>
        <w:rPr>
          <w:rFonts w:hint="eastAsia"/>
          <w:szCs w:val="21"/>
          <w:lang w:val="en-US" w:eastAsia="zh-CN"/>
        </w:rPr>
        <w:t>0.032</w:t>
      </w:r>
      <w:r>
        <w:rPr>
          <w:rFonts w:hint="eastAsia"/>
          <w:szCs w:val="21"/>
          <w:lang w:eastAsia="zh-CN"/>
        </w:rPr>
        <w:t>mm</w:t>
      </w:r>
    </w:p>
    <w:p>
      <w:pPr>
        <w:spacing w:line="360" w:lineRule="auto"/>
        <w:rPr>
          <w:szCs w:val="21"/>
        </w:rPr>
      </w:pPr>
      <w:r>
        <w:rPr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、</w:t>
      </w:r>
      <w:r>
        <w:rPr>
          <w:b/>
          <w:bCs/>
          <w:szCs w:val="21"/>
        </w:rPr>
        <w:t xml:space="preserve">测量不确定度的报告与表示   </w:t>
      </w:r>
    </w:p>
    <w:p>
      <w:pPr>
        <w:spacing w:line="360" w:lineRule="auto"/>
        <w:ind w:firstLine="420" w:firstLineChars="200"/>
        <w:rPr>
          <w:rFonts w:ascii="宋体" w:hAnsi="宋体"/>
          <w:sz w:val="24"/>
        </w:rPr>
      </w:pPr>
      <w:r>
        <w:rPr>
          <w:i/>
          <w:szCs w:val="21"/>
        </w:rPr>
        <w:t>U＝</w:t>
      </w:r>
      <w:r>
        <w:rPr>
          <w:rFonts w:hint="eastAsia"/>
          <w:szCs w:val="21"/>
          <w:lang w:val="en-US" w:eastAsia="zh-CN"/>
        </w:rPr>
        <w:t>0.032</w:t>
      </w:r>
      <w:r>
        <w:rPr>
          <w:rFonts w:hint="eastAsia"/>
          <w:szCs w:val="21"/>
          <w:lang w:eastAsia="zh-CN"/>
        </w:rPr>
        <w:t>mm</w:t>
      </w:r>
      <w:r>
        <w:rPr>
          <w:szCs w:val="21"/>
        </w:rPr>
        <w:t>，</w:t>
      </w:r>
      <w:r>
        <w:rPr>
          <w:i/>
          <w:iCs/>
          <w:szCs w:val="21"/>
        </w:rPr>
        <w:t>k</w:t>
      </w:r>
      <w:r>
        <w:rPr>
          <w:szCs w:val="21"/>
        </w:rPr>
        <w:t>=2</w:t>
      </w:r>
      <w:r>
        <w:rPr>
          <w:rFonts w:hint="eastAsia"/>
          <w:szCs w:val="21"/>
          <w:lang w:val="en-US" w:eastAsia="zh-CN"/>
        </w:rPr>
        <w:t xml:space="preserve">      </w:t>
      </w:r>
    </w:p>
    <w:p>
      <w:pPr>
        <w:spacing w:line="360" w:lineRule="auto"/>
        <w:ind w:firstLine="280" w:firstLineChars="1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320" w:firstLineChars="19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评定人： </w:t>
      </w:r>
      <w:r>
        <w:rPr>
          <w:rFonts w:hint="eastAsia" w:ascii="宋体" w:hAnsi="宋体"/>
          <w:sz w:val="28"/>
          <w:szCs w:val="28"/>
          <w:lang w:eastAsia="zh-CN"/>
        </w:rPr>
        <w:t>李孟凯</w:t>
      </w:r>
      <w:r>
        <w:rPr>
          <w:rFonts w:ascii="宋体" w:hAnsi="宋体"/>
          <w:sz w:val="28"/>
          <w:szCs w:val="28"/>
        </w:rPr>
        <w:t xml:space="preserve">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C561B"/>
    <w:multiLevelType w:val="multilevel"/>
    <w:tmpl w:val="0DEC561B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380E22"/>
    <w:rsid w:val="00012BB5"/>
    <w:rsid w:val="000307F3"/>
    <w:rsid w:val="00035B53"/>
    <w:rsid w:val="00047E9B"/>
    <w:rsid w:val="00066B28"/>
    <w:rsid w:val="00071F5E"/>
    <w:rsid w:val="00081656"/>
    <w:rsid w:val="000936BD"/>
    <w:rsid w:val="000A2878"/>
    <w:rsid w:val="000B26A6"/>
    <w:rsid w:val="000B32D6"/>
    <w:rsid w:val="00117D09"/>
    <w:rsid w:val="00124AE8"/>
    <w:rsid w:val="001342C9"/>
    <w:rsid w:val="001459FC"/>
    <w:rsid w:val="00162EFE"/>
    <w:rsid w:val="00163A22"/>
    <w:rsid w:val="0017215E"/>
    <w:rsid w:val="00182DAE"/>
    <w:rsid w:val="001D4CE4"/>
    <w:rsid w:val="001E0BE3"/>
    <w:rsid w:val="001F07B4"/>
    <w:rsid w:val="001F72E9"/>
    <w:rsid w:val="00201F21"/>
    <w:rsid w:val="00205B2B"/>
    <w:rsid w:val="00221EE8"/>
    <w:rsid w:val="00255621"/>
    <w:rsid w:val="00266D71"/>
    <w:rsid w:val="002A5F50"/>
    <w:rsid w:val="002C3620"/>
    <w:rsid w:val="002D7EF5"/>
    <w:rsid w:val="002E40B3"/>
    <w:rsid w:val="00302C7B"/>
    <w:rsid w:val="00315A16"/>
    <w:rsid w:val="00330B5E"/>
    <w:rsid w:val="00334B6F"/>
    <w:rsid w:val="00354569"/>
    <w:rsid w:val="003716CA"/>
    <w:rsid w:val="0037767F"/>
    <w:rsid w:val="00380E22"/>
    <w:rsid w:val="00390DBC"/>
    <w:rsid w:val="003A3C0A"/>
    <w:rsid w:val="003C161C"/>
    <w:rsid w:val="003D1E10"/>
    <w:rsid w:val="00401F6F"/>
    <w:rsid w:val="00420FBC"/>
    <w:rsid w:val="00435F45"/>
    <w:rsid w:val="00436711"/>
    <w:rsid w:val="00462797"/>
    <w:rsid w:val="00492913"/>
    <w:rsid w:val="00493A8D"/>
    <w:rsid w:val="0049485E"/>
    <w:rsid w:val="004D5087"/>
    <w:rsid w:val="004F0B46"/>
    <w:rsid w:val="004F0F4B"/>
    <w:rsid w:val="004F46DC"/>
    <w:rsid w:val="004F541C"/>
    <w:rsid w:val="00514D53"/>
    <w:rsid w:val="00533EF6"/>
    <w:rsid w:val="0057371F"/>
    <w:rsid w:val="0059694A"/>
    <w:rsid w:val="005B49B6"/>
    <w:rsid w:val="006361AD"/>
    <w:rsid w:val="006369F2"/>
    <w:rsid w:val="00644054"/>
    <w:rsid w:val="006546F1"/>
    <w:rsid w:val="00654A91"/>
    <w:rsid w:val="00674CAB"/>
    <w:rsid w:val="0068307F"/>
    <w:rsid w:val="006A0D7B"/>
    <w:rsid w:val="006A412C"/>
    <w:rsid w:val="006A5E36"/>
    <w:rsid w:val="006C7530"/>
    <w:rsid w:val="006D0923"/>
    <w:rsid w:val="006D27BF"/>
    <w:rsid w:val="006E1D3A"/>
    <w:rsid w:val="00701094"/>
    <w:rsid w:val="0074122F"/>
    <w:rsid w:val="00742DD5"/>
    <w:rsid w:val="0078029F"/>
    <w:rsid w:val="007D6D62"/>
    <w:rsid w:val="007E5416"/>
    <w:rsid w:val="00823182"/>
    <w:rsid w:val="00840245"/>
    <w:rsid w:val="00863D8B"/>
    <w:rsid w:val="0087600E"/>
    <w:rsid w:val="008860E5"/>
    <w:rsid w:val="008951B5"/>
    <w:rsid w:val="008B2AAD"/>
    <w:rsid w:val="008D1953"/>
    <w:rsid w:val="008F6A06"/>
    <w:rsid w:val="00901370"/>
    <w:rsid w:val="00916775"/>
    <w:rsid w:val="00916923"/>
    <w:rsid w:val="0092441E"/>
    <w:rsid w:val="00937DA7"/>
    <w:rsid w:val="009579D5"/>
    <w:rsid w:val="009647D5"/>
    <w:rsid w:val="0096730E"/>
    <w:rsid w:val="009959A7"/>
    <w:rsid w:val="009A278E"/>
    <w:rsid w:val="009A6C71"/>
    <w:rsid w:val="009A6EAA"/>
    <w:rsid w:val="009E0A34"/>
    <w:rsid w:val="009E79C5"/>
    <w:rsid w:val="00A01FD9"/>
    <w:rsid w:val="00A0601A"/>
    <w:rsid w:val="00A37F8E"/>
    <w:rsid w:val="00A545CB"/>
    <w:rsid w:val="00A65E19"/>
    <w:rsid w:val="00A807A8"/>
    <w:rsid w:val="00A85B51"/>
    <w:rsid w:val="00A9747C"/>
    <w:rsid w:val="00AB0076"/>
    <w:rsid w:val="00AC4EBB"/>
    <w:rsid w:val="00AD06BC"/>
    <w:rsid w:val="00AE62CD"/>
    <w:rsid w:val="00AF1B8D"/>
    <w:rsid w:val="00AF2122"/>
    <w:rsid w:val="00AF481B"/>
    <w:rsid w:val="00B00AB1"/>
    <w:rsid w:val="00B04E4F"/>
    <w:rsid w:val="00B12E0C"/>
    <w:rsid w:val="00B1376E"/>
    <w:rsid w:val="00B3709A"/>
    <w:rsid w:val="00B46C95"/>
    <w:rsid w:val="00B654CB"/>
    <w:rsid w:val="00B70791"/>
    <w:rsid w:val="00B80270"/>
    <w:rsid w:val="00B80680"/>
    <w:rsid w:val="00B84768"/>
    <w:rsid w:val="00B85F81"/>
    <w:rsid w:val="00BA3FEA"/>
    <w:rsid w:val="00BD4C1B"/>
    <w:rsid w:val="00BE01DD"/>
    <w:rsid w:val="00BE282E"/>
    <w:rsid w:val="00BF03B4"/>
    <w:rsid w:val="00C26DE4"/>
    <w:rsid w:val="00C5043D"/>
    <w:rsid w:val="00C52673"/>
    <w:rsid w:val="00C608E9"/>
    <w:rsid w:val="00C96B19"/>
    <w:rsid w:val="00CA4043"/>
    <w:rsid w:val="00CA6335"/>
    <w:rsid w:val="00CB2F9D"/>
    <w:rsid w:val="00CB3D9A"/>
    <w:rsid w:val="00CC124C"/>
    <w:rsid w:val="00CD5A62"/>
    <w:rsid w:val="00CD6148"/>
    <w:rsid w:val="00CF12C4"/>
    <w:rsid w:val="00CF137B"/>
    <w:rsid w:val="00D1702F"/>
    <w:rsid w:val="00D24A48"/>
    <w:rsid w:val="00D26BB8"/>
    <w:rsid w:val="00D46588"/>
    <w:rsid w:val="00D5437E"/>
    <w:rsid w:val="00D74FC4"/>
    <w:rsid w:val="00D772A5"/>
    <w:rsid w:val="00D8029A"/>
    <w:rsid w:val="00D80A38"/>
    <w:rsid w:val="00D9773F"/>
    <w:rsid w:val="00DD3149"/>
    <w:rsid w:val="00E064E9"/>
    <w:rsid w:val="00E122C5"/>
    <w:rsid w:val="00E13592"/>
    <w:rsid w:val="00E13EF1"/>
    <w:rsid w:val="00E159E5"/>
    <w:rsid w:val="00E32432"/>
    <w:rsid w:val="00E34AF0"/>
    <w:rsid w:val="00E35BC2"/>
    <w:rsid w:val="00E5662E"/>
    <w:rsid w:val="00E808D0"/>
    <w:rsid w:val="00E8132E"/>
    <w:rsid w:val="00E82390"/>
    <w:rsid w:val="00E83514"/>
    <w:rsid w:val="00EA245C"/>
    <w:rsid w:val="00EC642F"/>
    <w:rsid w:val="00EF7E82"/>
    <w:rsid w:val="00F30AE7"/>
    <w:rsid w:val="00F37C61"/>
    <w:rsid w:val="00F44A76"/>
    <w:rsid w:val="00F46950"/>
    <w:rsid w:val="00F66BF3"/>
    <w:rsid w:val="00F77404"/>
    <w:rsid w:val="00FD7565"/>
    <w:rsid w:val="00FD7EAC"/>
    <w:rsid w:val="02B24224"/>
    <w:rsid w:val="09096A95"/>
    <w:rsid w:val="0DD13B17"/>
    <w:rsid w:val="121D240E"/>
    <w:rsid w:val="184F3482"/>
    <w:rsid w:val="1BD332DE"/>
    <w:rsid w:val="2901378B"/>
    <w:rsid w:val="323754E4"/>
    <w:rsid w:val="32730866"/>
    <w:rsid w:val="358278C5"/>
    <w:rsid w:val="380375F6"/>
    <w:rsid w:val="3B50796F"/>
    <w:rsid w:val="3F7507D0"/>
    <w:rsid w:val="44D4534D"/>
    <w:rsid w:val="4B991F11"/>
    <w:rsid w:val="4EA00C5C"/>
    <w:rsid w:val="4F725D29"/>
    <w:rsid w:val="4FAF3B52"/>
    <w:rsid w:val="51E1197E"/>
    <w:rsid w:val="55DE591F"/>
    <w:rsid w:val="56FD0556"/>
    <w:rsid w:val="581722A1"/>
    <w:rsid w:val="5D3E5D78"/>
    <w:rsid w:val="5E051B03"/>
    <w:rsid w:val="6646754B"/>
    <w:rsid w:val="67A255C3"/>
    <w:rsid w:val="73575437"/>
    <w:rsid w:val="75BF2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98C5-909B-4E2E-BA9F-12CCBAB23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608</Words>
  <Characters>818</Characters>
  <Lines>5</Lines>
  <Paragraphs>1</Paragraphs>
  <TotalTime>0</TotalTime>
  <ScaleCrop>false</ScaleCrop>
  <LinksUpToDate>false</LinksUpToDate>
  <CharactersWithSpaces>916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2018-01-31T02:38:00Z</dcterms:created>
  <dc:creator>user</dc:creator>
  <cp:lastModifiedBy>hp</cp:lastModifiedBy>
  <cp:lastPrinted>2018-01-06T07:58:00Z</cp:lastPrinted>
  <dcterms:modified xsi:type="dcterms:W3CDTF">2023-03-17T09:47:30Z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71B3939D4FA34830A375EBB3D938F5AE</vt:lpwstr>
  </property>
</Properties>
</file>