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杭萧钢构（河北）建设有限公司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0205-2023-EnMS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  <w:bookmarkStart w:id="2" w:name="审核范围"/>
            <w:r>
              <w:t>钢结构工程的制作所涉及的能源管理活动。</w:t>
            </w:r>
            <w:bookmarkEnd w:id="2"/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  <w:bookmarkStart w:id="3" w:name="_GoBack"/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color="auto" w:fill="FFFFFF"/>
              </w:rPr>
              <w:t>钢结构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工程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color="auto" w:fill="FFFFFF"/>
              </w:rPr>
              <w:t>产品的制造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所涉及的能源管理活动</w:t>
            </w:r>
            <w:bookmarkEnd w:id="3"/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范玲玲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2023.3.13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杨森 2023.3.13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8.5pt;margin-top:8.45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0F5358CD"/>
    <w:rsid w:val="25BF255E"/>
    <w:rsid w:val="6B3B58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400</Words>
  <Characters>436</Characters>
  <Lines>3</Lines>
  <Paragraphs>1</Paragraphs>
  <TotalTime>1</TotalTime>
  <ScaleCrop>false</ScaleCrop>
  <LinksUpToDate>false</LinksUpToDate>
  <CharactersWithSpaces>480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三 木</cp:lastModifiedBy>
  <cp:lastPrinted>2016-01-28T05:47:00Z</cp:lastPrinted>
  <dcterms:modified xsi:type="dcterms:W3CDTF">2023-03-13T02:41:44Z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2052-11.1.0.13703</vt:lpwstr>
  </property>
</Properties>
</file>