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1337-2021-EO-2023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沧县港华燃气有限公司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pPr>
        <w:pStyle w:val="13"/>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沧县港华燃气有限公司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河北省沧县仵龙堂乡东官庄村</w:t>
            </w:r>
            <w:bookmarkEnd w:id="6"/>
          </w:p>
        </w:tc>
        <w:tc>
          <w:tcPr>
            <w:tcW w:w="1242" w:type="dxa"/>
            <w:vMerge w:val="restart"/>
            <w:vAlign w:val="center"/>
          </w:tcPr>
          <w:p>
            <w:r>
              <w:rPr>
                <w:rFonts w:hint="eastAsia"/>
              </w:rPr>
              <w:t>邮编</w:t>
            </w:r>
          </w:p>
        </w:tc>
        <w:tc>
          <w:tcPr>
            <w:tcW w:w="1771" w:type="dxa"/>
          </w:tcPr>
          <w:p>
            <w:bookmarkStart w:id="7" w:name="注册邮编"/>
            <w:r>
              <w:t>061000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河北省沧州市新华区东方世纪广场B座</w:t>
            </w:r>
            <w:bookmarkEnd w:id="8"/>
          </w:p>
        </w:tc>
        <w:tc>
          <w:tcPr>
            <w:tcW w:w="1242" w:type="dxa"/>
            <w:vMerge w:val="continue"/>
            <w:vAlign w:val="center"/>
          </w:tcPr>
          <w:p/>
        </w:tc>
        <w:tc>
          <w:tcPr>
            <w:tcW w:w="1771" w:type="dxa"/>
          </w:tcPr>
          <w:p>
            <w:bookmarkStart w:id="9" w:name="办公邮编"/>
            <w:r>
              <w:t>061000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sz w:val="21"/>
                <w:szCs w:val="21"/>
                <w:lang w:eastAsia="zh-CN"/>
              </w:rPr>
              <w:t>张家铭</w:t>
            </w:r>
          </w:p>
        </w:tc>
        <w:tc>
          <w:tcPr>
            <w:tcW w:w="1313" w:type="dxa"/>
            <w:vAlign w:val="center"/>
          </w:tcPr>
          <w:p>
            <w:r>
              <w:rPr>
                <w:rFonts w:hint="eastAsia"/>
              </w:rPr>
              <w:t>电话.</w:t>
            </w:r>
          </w:p>
        </w:tc>
        <w:tc>
          <w:tcPr>
            <w:tcW w:w="2180" w:type="dxa"/>
            <w:vAlign w:val="center"/>
          </w:tcPr>
          <w:p>
            <w:r>
              <w:rPr>
                <w:rFonts w:hint="eastAsia"/>
                <w:sz w:val="21"/>
                <w:szCs w:val="21"/>
                <w:lang w:val="en-US" w:eastAsia="zh-CN"/>
              </w:rPr>
              <w:t>15100850086</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蔡建金</w:t>
            </w:r>
            <w:bookmarkEnd w:id="11"/>
          </w:p>
        </w:tc>
        <w:tc>
          <w:tcPr>
            <w:tcW w:w="1313" w:type="dxa"/>
            <w:vAlign w:val="center"/>
          </w:tcPr>
          <w:p>
            <w:r>
              <w:rPr>
                <w:rFonts w:hint="eastAsia"/>
              </w:rPr>
              <w:t>管理者代表</w:t>
            </w:r>
          </w:p>
        </w:tc>
        <w:tc>
          <w:tcPr>
            <w:tcW w:w="2180" w:type="dxa"/>
          </w:tcPr>
          <w:p>
            <w:r>
              <w:rPr>
                <w:rFonts w:hint="eastAsia" w:eastAsia="宋体"/>
              </w:rPr>
              <w:t>孔德山</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cs="宋体"/>
                <w:b w:val="0"/>
                <w:bCs w:val="0"/>
                <w:sz w:val="21"/>
                <w:szCs w:val="21"/>
              </w:rPr>
              <w:t>燃气供应：签订供气合同，负责燃气的运行、维护维修等工作，达到用户有气可用，定期对用户进行安全检查，客户签字确认</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2023年03月13日 上午至2023年03月14日 上午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E：许可范围内的管道燃气（天然气）运营所涉及场所的相关环境管理活动</w:t>
            </w:r>
          </w:p>
          <w:p>
            <w:r>
              <w:t>O：许可范围内的管道燃气（天然气）运营所涉及场所的相关职业健康安全管理活动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E：26.01.03</w:t>
            </w:r>
          </w:p>
          <w:p>
            <w:r>
              <w:t>O：26.01.03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沧县港华燃气有限公司</w:t>
            </w:r>
            <w:r>
              <w:rPr>
                <w:rFonts w:hint="eastAsia"/>
                <w:sz w:val="21"/>
                <w:szCs w:val="21"/>
                <w:lang w:val="en-US" w:eastAsia="zh-CN"/>
              </w:rPr>
              <w:t>/</w:t>
            </w:r>
            <w:r>
              <w:rPr>
                <w:rFonts w:asciiTheme="minorEastAsia" w:hAnsiTheme="minorEastAsia" w:eastAsiaTheme="minorEastAsia"/>
                <w:sz w:val="20"/>
              </w:rPr>
              <w:t>河北省沧县仵龙堂乡东官庄村</w:t>
            </w:r>
          </w:p>
        </w:tc>
        <w:tc>
          <w:tcPr>
            <w:tcW w:w="2267" w:type="dxa"/>
          </w:tcPr>
          <w:p>
            <w:pPr>
              <w:rPr>
                <w:lang w:val="de-DE" w:eastAsia="ja-JP"/>
              </w:rPr>
            </w:pPr>
            <w:r>
              <w:rPr>
                <w:rFonts w:asciiTheme="minorEastAsia" w:hAnsiTheme="minorEastAsia" w:eastAsiaTheme="minorEastAsia"/>
                <w:sz w:val="20"/>
              </w:rPr>
              <w:t>河北省沧州市新华区东方世纪广场B座</w:t>
            </w:r>
          </w:p>
        </w:tc>
        <w:tc>
          <w:tcPr>
            <w:tcW w:w="571" w:type="dxa"/>
            <w:vAlign w:val="center"/>
          </w:tcPr>
          <w:p>
            <w:pPr>
              <w:rPr>
                <w:rFonts w:hint="default" w:eastAsia="宋体"/>
                <w:lang w:val="en-US" w:eastAsia="zh-CN"/>
              </w:rPr>
            </w:pPr>
            <w:r>
              <w:rPr>
                <w:rFonts w:hint="eastAsia"/>
                <w:lang w:val="en-US" w:eastAsia="zh-CN"/>
              </w:rPr>
              <w:t>22人</w:t>
            </w:r>
          </w:p>
        </w:tc>
        <w:tc>
          <w:tcPr>
            <w:tcW w:w="2803" w:type="dxa"/>
            <w:vAlign w:val="center"/>
          </w:tcPr>
          <w:p>
            <w:pPr>
              <w:rPr>
                <w:sz w:val="20"/>
              </w:rPr>
            </w:pPr>
            <w:r>
              <w:rPr>
                <w:sz w:val="20"/>
              </w:rPr>
              <w:t>E：许可范围内的管道燃气（天然气）运营所涉及场所的相关环境管理活动</w:t>
            </w:r>
          </w:p>
          <w:p>
            <w:pPr>
              <w:rPr>
                <w:lang w:eastAsia="ja-JP"/>
              </w:rPr>
            </w:pPr>
            <w:r>
              <w:rPr>
                <w:sz w:val="20"/>
              </w:rPr>
              <w:t>O：许可范围内的管道燃气（天然气）运营所涉及场所的相关职业健康安全管理活动</w:t>
            </w:r>
          </w:p>
        </w:tc>
        <w:tc>
          <w:tcPr>
            <w:tcW w:w="669" w:type="dxa"/>
            <w:vAlign w:val="center"/>
          </w:tcPr>
          <w:p>
            <w:pPr>
              <w:rPr>
                <w:rFonts w:hint="eastAsia"/>
              </w:rPr>
            </w:pPr>
            <w:r>
              <w:rPr>
                <w:rFonts w:hint="eastAsia"/>
              </w:rPr>
              <w:t>GB/T24001-2016</w:t>
            </w:r>
          </w:p>
          <w:p>
            <w:pPr>
              <w:pStyle w:val="13"/>
              <w:rPr>
                <w:rFonts w:hint="eastAsia" w:ascii="宋体" w:hAnsi="宋体"/>
                <w:b/>
                <w:sz w:val="21"/>
                <w:szCs w:val="21"/>
                <w:lang w:eastAsia="ja-JP"/>
              </w:rPr>
            </w:pPr>
            <w:r>
              <w:rPr>
                <w:rFonts w:hint="eastAsia" w:ascii="宋体" w:hAnsi="宋体"/>
                <w:b/>
                <w:sz w:val="21"/>
                <w:szCs w:val="21"/>
              </w:rPr>
              <w:t>GB/T45001-2020</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赵丽萍</w:t>
            </w:r>
          </w:p>
        </w:tc>
        <w:tc>
          <w:tcPr>
            <w:tcW w:w="1089" w:type="dxa"/>
            <w:vAlign w:val="center"/>
          </w:tcPr>
          <w:p>
            <w:r>
              <w:t>组长</w:t>
            </w:r>
          </w:p>
        </w:tc>
        <w:tc>
          <w:tcPr>
            <w:tcW w:w="711" w:type="dxa"/>
            <w:vAlign w:val="center"/>
          </w:tcPr>
          <w:p>
            <w:r>
              <w:t>女</w:t>
            </w:r>
          </w:p>
        </w:tc>
        <w:tc>
          <w:tcPr>
            <w:tcW w:w="3870" w:type="dxa"/>
            <w:vAlign w:val="center"/>
          </w:tcPr>
          <w:p>
            <w:r>
              <w:t>2022-N1EMS-2012001</w:t>
            </w:r>
          </w:p>
          <w:p>
            <w:r>
              <w:t>2021-N1OHSMS-1012001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范治康</w:t>
            </w:r>
          </w:p>
        </w:tc>
        <w:tc>
          <w:tcPr>
            <w:tcW w:w="1089" w:type="dxa"/>
            <w:vAlign w:val="center"/>
          </w:tcPr>
          <w:p>
            <w:r>
              <w:t>组员</w:t>
            </w:r>
          </w:p>
        </w:tc>
        <w:tc>
          <w:tcPr>
            <w:tcW w:w="711" w:type="dxa"/>
            <w:vAlign w:val="center"/>
          </w:tcPr>
          <w:p>
            <w:r>
              <w:t>男</w:t>
            </w:r>
          </w:p>
        </w:tc>
        <w:tc>
          <w:tcPr>
            <w:tcW w:w="3870" w:type="dxa"/>
            <w:vAlign w:val="center"/>
          </w:tcPr>
          <w:p>
            <w:r>
              <w:t>ISC-JSZJ-469</w:t>
            </w:r>
          </w:p>
          <w:p>
            <w:r>
              <w:t>ISC-JSZJ-469</w:t>
            </w:r>
          </w:p>
          <w:p>
            <w:r>
              <w:t>盐山港华燃气有限公司</w:t>
            </w:r>
          </w:p>
        </w:tc>
        <w:tc>
          <w:tcPr>
            <w:tcW w:w="2179" w:type="dxa"/>
            <w:vAlign w:val="center"/>
          </w:tcPr>
          <w:p>
            <w:r>
              <w:t>E:26.01.03</w:t>
            </w:r>
          </w:p>
          <w:p>
            <w:r>
              <w:t>O:26.01.03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变更了管理者代表和联系人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w:t>
      </w:r>
      <w:r>
        <w:rPr>
          <w:rFonts w:hint="eastAsia"/>
          <w:lang w:val="de-DE"/>
        </w:rPr>
        <w:t>■</w:t>
      </w:r>
      <w:r>
        <w:rPr>
          <w:rFonts w:hint="eastAsia"/>
        </w:rPr>
        <w:t>EMS</w:t>
      </w:r>
      <w:r>
        <w:rPr>
          <w:rFonts w:hint="eastAsia"/>
          <w:lang w:val="de-DE"/>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de-DE"/>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推荐保持认证注册(</w:t>
            </w:r>
            <w:r>
              <w:rPr>
                <w:rFonts w:hint="eastAsia"/>
                <w:lang w:val="de-DE"/>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lang w:eastAsia="zh-CN"/>
              </w:rPr>
              <w:t>赵丽萍</w:t>
            </w: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宋体"/>
                <w:b w:val="0"/>
                <w:bCs/>
                <w:color w:val="auto"/>
                <w:szCs w:val="21"/>
                <w:lang w:val="en-US" w:eastAsia="zh-CN"/>
              </w:rPr>
              <w:t>2023.3.15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lang w:eastAsia="zh-CN"/>
              </w:rPr>
              <w:t>□</w:t>
            </w:r>
            <w:r>
              <w:rPr>
                <w:rFonts w:hint="eastAsia"/>
              </w:rPr>
              <w:t>环评三同时</w:t>
            </w:r>
            <w:r>
              <w:rPr>
                <w:rFonts w:hint="eastAsia"/>
                <w:lang w:eastAsia="zh-CN"/>
              </w:rPr>
              <w:t>□</w:t>
            </w:r>
            <w:r>
              <w:rPr>
                <w:rFonts w:hint="eastAsia"/>
              </w:rPr>
              <w:t>其他</w:t>
            </w:r>
          </w:p>
          <w:p>
            <w:pPr>
              <w:keepNext w:val="0"/>
              <w:keepLines w:val="0"/>
              <w:pageBreakBefore w:val="0"/>
              <w:widowControl w:val="0"/>
              <w:shd w:val="clear" w:color="auto" w:fill="EBF1DE" w:themeFill="accent3" w:themeFillTint="32"/>
              <w:kinsoku/>
              <w:wordWrap/>
              <w:overflowPunct/>
              <w:topLinePunct w:val="0"/>
              <w:autoSpaceDE/>
              <w:autoSpaceDN/>
              <w:bidi w:val="0"/>
              <w:adjustRightInd/>
              <w:snapToGrid/>
              <w:spacing w:before="40" w:after="40" w:line="120" w:lineRule="auto"/>
              <w:textAlignment w:val="auto"/>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遵循环境法规，立足污染预防，追求节能低碳，创建环保品牌；</w:t>
            </w:r>
          </w:p>
          <w:p>
            <w:pPr>
              <w:keepNext w:val="0"/>
              <w:keepLines w:val="0"/>
              <w:pageBreakBefore w:val="0"/>
              <w:kinsoku/>
              <w:wordWrap/>
              <w:overflowPunct/>
              <w:topLinePunct w:val="0"/>
              <w:autoSpaceDE/>
              <w:autoSpaceDN/>
              <w:bidi w:val="0"/>
              <w:spacing w:line="360" w:lineRule="auto"/>
              <w:ind w:firstLine="420" w:firstLineChars="200"/>
              <w:textAlignment w:val="auto"/>
              <w:rPr>
                <w:u w:val="single"/>
              </w:rPr>
            </w:pPr>
            <w:r>
              <w:rPr>
                <w:rFonts w:hint="eastAsia" w:asciiTheme="minorEastAsia" w:hAnsiTheme="minorEastAsia" w:eastAsiaTheme="minorEastAsia" w:cstheme="minorEastAsia"/>
                <w:sz w:val="21"/>
                <w:szCs w:val="21"/>
              </w:rPr>
              <w:t>倡导以人为本，关爱员工健康，和谐持续发展，彰显社会责任</w:t>
            </w:r>
            <w:r>
              <w:rPr>
                <w:rFonts w:hint="eastAsia"/>
                <w:szCs w:val="21"/>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综合部</w:t>
            </w:r>
            <w:r>
              <w:rPr>
                <w:rFonts w:hint="eastAsia"/>
              </w:rPr>
              <w:t>—</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ascii="宋体" w:hAnsi="宋体"/>
                      <w:szCs w:val="21"/>
                    </w:rPr>
                    <w:t>各岗位主要人员的离职等风险。</w:t>
                  </w:r>
                </w:p>
              </w:tc>
              <w:tc>
                <w:tcPr>
                  <w:tcW w:w="3965" w:type="dxa"/>
                  <w:vAlign w:val="top"/>
                </w:tcPr>
                <w:p>
                  <w:pPr>
                    <w:shd w:val="clear" w:color="auto" w:fill="EBF1DE" w:themeFill="accent3" w:themeFillTint="32"/>
                    <w:rPr>
                      <w:rFonts w:hint="eastAsia" w:ascii="宋体" w:hAnsi="宋体" w:eastAsia="宋体" w:cs="Times New Roman"/>
                      <w:kern w:val="2"/>
                      <w:sz w:val="21"/>
                      <w:szCs w:val="21"/>
                      <w:lang w:val="en-US" w:eastAsia="zh-CN" w:bidi="ar-SA"/>
                    </w:rPr>
                  </w:pPr>
                  <w:r>
                    <w:rPr>
                      <w:rFonts w:hint="eastAsia" w:ascii="宋体" w:hAnsi="宋体"/>
                      <w:szCs w:val="21"/>
                      <w:lang w:eastAsia="zh-CN"/>
                    </w:rPr>
                    <w:t>综合部</w:t>
                  </w:r>
                  <w:r>
                    <w:rPr>
                      <w:rFonts w:hint="eastAsia" w:ascii="宋体" w:hAnsi="宋体"/>
                      <w:szCs w:val="21"/>
                    </w:rPr>
                    <w:t>组织培训，通过自学/外培等方式进一步提高管理团队经验.</w:t>
                  </w:r>
                </w:p>
              </w:tc>
              <w:tc>
                <w:tcPr>
                  <w:tcW w:w="1717" w:type="dxa"/>
                  <w:vAlign w:val="top"/>
                </w:tcPr>
                <w:p>
                  <w:pPr>
                    <w:shd w:val="clear" w:color="auto" w:fill="EBF1DE" w:themeFill="accent3" w:themeFillTint="32"/>
                    <w:rPr>
                      <w:rFonts w:hint="default" w:eastAsia="宋体"/>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asciiTheme="minorEastAsia" w:hAnsiTheme="minorEastAsia" w:eastAsiaTheme="minorEastAsia" w:cstheme="minorEastAsia"/>
                      <w:szCs w:val="21"/>
                    </w:rPr>
                    <w:t>资金风险，</w:t>
                  </w:r>
                </w:p>
              </w:tc>
              <w:tc>
                <w:tcPr>
                  <w:tcW w:w="3965" w:type="dxa"/>
                  <w:vAlign w:val="top"/>
                </w:tcPr>
                <w:p>
                  <w:pPr>
                    <w:shd w:val="clear" w:color="auto" w:fill="EBF1DE" w:themeFill="accent3" w:themeFillTint="32"/>
                    <w:rPr>
                      <w:rFonts w:ascii="宋体" w:hAnsi="宋体" w:eastAsia="宋体" w:cs="Times New Roman"/>
                      <w:kern w:val="2"/>
                      <w:sz w:val="21"/>
                      <w:szCs w:val="21"/>
                      <w:lang w:val="en-US" w:eastAsia="zh-CN" w:bidi="ar-SA"/>
                    </w:rPr>
                  </w:pPr>
                  <w:r>
                    <w:rPr>
                      <w:rFonts w:hint="eastAsia" w:asciiTheme="minorEastAsia" w:hAnsiTheme="minorEastAsia" w:eastAsiaTheme="minorEastAsia" w:cstheme="minorEastAsia"/>
                      <w:szCs w:val="21"/>
                    </w:rPr>
                    <w:t>公司建立一定得准备预备资金，防止一时的资金断裂对公司运行造成重大影响</w:t>
                  </w:r>
                </w:p>
              </w:tc>
              <w:tc>
                <w:tcPr>
                  <w:tcW w:w="1717" w:type="dxa"/>
                  <w:vAlign w:val="top"/>
                </w:tcPr>
                <w:p>
                  <w:pPr>
                    <w:shd w:val="clear" w:color="auto" w:fill="EBF1DE" w:themeFill="accent3" w:themeFillTint="32"/>
                    <w:rPr>
                      <w:rFonts w:hint="default" w:eastAsia="宋体"/>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ascii="Times New Roman" w:hAnsi="Times New Roman" w:eastAsia="宋体" w:cs="Times New Roman"/>
                    </w:rPr>
                    <w:t>法律法规收集不全；法律法规收集不及时；法律法规变化不了解。</w:t>
                  </w:r>
                </w:p>
              </w:tc>
              <w:tc>
                <w:tcPr>
                  <w:tcW w:w="3965" w:type="dxa"/>
                  <w:vAlign w:val="top"/>
                </w:tcPr>
                <w:p>
                  <w:pPr>
                    <w:shd w:val="clear" w:color="auto" w:fill="EBF1DE" w:themeFill="accent3" w:themeFillTint="32"/>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vAlign w:val="top"/>
                </w:tcPr>
                <w:p>
                  <w:pPr>
                    <w:shd w:val="clear" w:color="auto" w:fill="EBF1DE" w:themeFill="accent3" w:themeFillTint="32"/>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w:t>
            </w:r>
            <w:r>
              <w:rPr>
                <w:rFonts w:hint="eastAsia"/>
                <w:lang w:val="en-US" w:eastAsia="zh-CN"/>
              </w:rPr>
              <w:t>固</w:t>
            </w:r>
            <w:r>
              <w:rPr>
                <w:rFonts w:hint="eastAsia"/>
              </w:rPr>
              <w:t>废排放□噪声排放□危化品泄露□压力容器爆炸■火灾□其他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pPr>
                  <w:r>
                    <w:rPr>
                      <w:rFonts w:hint="eastAsia" w:ascii="宋体" w:hAnsi="宋体" w:cs="宋体"/>
                      <w:kern w:val="0"/>
                      <w:lang w:bidi="ar"/>
                    </w:rPr>
                    <w:t>固体废弃物100%分类，合理处理</w:t>
                  </w:r>
                </w:p>
              </w:tc>
              <w:tc>
                <w:tcPr>
                  <w:tcW w:w="3136" w:type="dxa"/>
                  <w:shd w:val="clear" w:color="auto" w:fill="auto"/>
                  <w:vAlign w:val="top"/>
                </w:tcPr>
                <w:p>
                  <w:pPr>
                    <w:widowControl/>
                    <w:spacing w:before="40"/>
                    <w:jc w:val="left"/>
                    <w:rPr>
                      <w:rFonts w:hint="eastAsia" w:ascii="宋体" w:hAnsi="宋体" w:eastAsia="宋体" w:cs="Times New Roman"/>
                      <w:kern w:val="2"/>
                      <w:sz w:val="21"/>
                      <w:szCs w:val="21"/>
                      <w:lang w:val="en-GB" w:eastAsia="zh-CN" w:bidi="ar-SA"/>
                    </w:rPr>
                  </w:pPr>
                  <w:r>
                    <w:rPr>
                      <w:rFonts w:hint="eastAsia" w:ascii="宋体" w:hAnsi="宋体" w:eastAsia="宋体" w:cs="宋体"/>
                      <w:color w:val="000000"/>
                      <w:sz w:val="21"/>
                      <w:szCs w:val="21"/>
                      <w:lang w:val="en-US" w:eastAsia="zh-CN"/>
                    </w:rPr>
                    <w:t>每季度</w:t>
                  </w:r>
                </w:p>
              </w:tc>
              <w:tc>
                <w:tcPr>
                  <w:tcW w:w="1350" w:type="dxa"/>
                  <w:shd w:val="clear" w:color="auto" w:fill="auto"/>
                  <w:vAlign w:val="top"/>
                </w:tcPr>
                <w:p>
                  <w:pPr>
                    <w:widowControl/>
                    <w:spacing w:before="40"/>
                    <w:jc w:val="left"/>
                    <w:rPr>
                      <w:rFonts w:hint="default" w:eastAsia="宋体"/>
                      <w:lang w:val="en-US" w:eastAsia="zh-CN"/>
                    </w:rPr>
                  </w:pPr>
                  <w:r>
                    <w:rPr>
                      <w:rFonts w:hint="eastAsia" w:ascii="Times New Roman" w:hAnsi="Times New Roman" w:eastAsia="宋体" w:cs="Times New Roman"/>
                      <w:color w:val="000000"/>
                      <w:szCs w:val="18"/>
                    </w:rPr>
                    <w:t>检查实际情况</w:t>
                  </w:r>
                </w:p>
              </w:tc>
              <w:tc>
                <w:tcPr>
                  <w:tcW w:w="1774" w:type="dxa"/>
                  <w:shd w:val="clear" w:color="auto" w:fill="auto"/>
                  <w:vAlign w:val="top"/>
                </w:tcPr>
                <w:p>
                  <w:pPr>
                    <w:widowControl/>
                    <w:spacing w:before="40"/>
                    <w:jc w:val="left"/>
                    <w:rPr>
                      <w:rFonts w:hint="eastAsia" w:ascii="宋体" w:hAnsi="宋体" w:eastAsia="宋体"/>
                      <w:lang w:val="en-US" w:eastAsia="zh-CN"/>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pPr>
                  <w:r>
                    <w:rPr>
                      <w:rFonts w:hint="eastAsia" w:ascii="宋体" w:hAnsi="宋体" w:cs="宋体"/>
                      <w:kern w:val="0"/>
                      <w:lang w:bidi="ar"/>
                    </w:rPr>
                    <w:t>环境污染事故发生率为零</w:t>
                  </w:r>
                </w:p>
              </w:tc>
              <w:tc>
                <w:tcPr>
                  <w:tcW w:w="3136" w:type="dxa"/>
                  <w:shd w:val="clear" w:color="auto" w:fill="auto"/>
                  <w:vAlign w:val="top"/>
                </w:tcPr>
                <w:p>
                  <w:pPr>
                    <w:widowControl/>
                    <w:spacing w:before="40"/>
                    <w:jc w:val="left"/>
                    <w:rPr>
                      <w:rFonts w:ascii="宋体" w:hAnsi="宋体" w:eastAsia="宋体" w:cs="Times New Roman"/>
                      <w:kern w:val="2"/>
                      <w:sz w:val="21"/>
                      <w:szCs w:val="21"/>
                      <w:lang w:val="en-US" w:eastAsia="zh-CN" w:bidi="ar-SA"/>
                    </w:rPr>
                  </w:pPr>
                  <w:r>
                    <w:rPr>
                      <w:rFonts w:hint="eastAsia" w:ascii="宋体" w:hAnsi="宋体" w:eastAsia="宋体" w:cs="宋体"/>
                      <w:color w:val="000000"/>
                      <w:sz w:val="21"/>
                      <w:szCs w:val="21"/>
                      <w:lang w:val="en-US" w:eastAsia="zh-CN"/>
                    </w:rPr>
                    <w:t>每季度</w:t>
                  </w:r>
                </w:p>
              </w:tc>
              <w:tc>
                <w:tcPr>
                  <w:tcW w:w="1350"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eastAsia="宋体" w:cs="Times New Roman"/>
                      <w:color w:val="000000"/>
                      <w:szCs w:val="18"/>
                    </w:rPr>
                    <w:t>检查实际情况</w:t>
                  </w:r>
                </w:p>
              </w:tc>
              <w:tc>
                <w:tcPr>
                  <w:tcW w:w="1774"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eastAsia="宋体"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pPr>
            <w:r>
              <w:rPr>
                <w:rFonts w:hint="eastAsia"/>
              </w:rPr>
              <w:t>组织应确定、提供并维护所需的基础设施情况：</w:t>
            </w:r>
          </w:p>
          <w:p>
            <w:pPr>
              <w:shd w:val="clear" w:color="auto"/>
            </w:pPr>
            <w:r>
              <w:rPr>
                <w:rFonts w:hint="eastAsia"/>
              </w:rPr>
              <w:t>建筑面积</w:t>
            </w:r>
            <w:r>
              <w:rPr>
                <w:rFonts w:hint="eastAsia"/>
                <w:lang w:val="en-US" w:eastAsia="zh-CN"/>
              </w:rPr>
              <w:t>270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rPr>
                <w:rFonts w:hint="default"/>
                <w:u w:val="single"/>
                <w:lang w:val="en-US"/>
              </w:rPr>
            </w:pPr>
            <w:r>
              <w:rPr>
                <w:rFonts w:hint="eastAsia"/>
              </w:rPr>
              <w:t>主要生产设备有：</w:t>
            </w:r>
            <w:r>
              <w:rPr>
                <w:rFonts w:hint="eastAsia"/>
                <w:szCs w:val="21"/>
              </w:rPr>
              <w:t>电话，电脑、打印机、复印机、空调</w:t>
            </w:r>
            <w:r>
              <w:rPr>
                <w:rFonts w:hint="eastAsia"/>
                <w:u w:val="single"/>
                <w:lang w:val="en-US" w:eastAsia="zh-CN"/>
              </w:rPr>
              <w:t>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消防设施</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EBF1DE" w:themeFill="accent3" w:themeFillTint="32"/>
              <w:rPr>
                <w:u w:val="single"/>
              </w:rPr>
            </w:pPr>
            <w:r>
              <w:rPr>
                <w:rFonts w:hint="eastAsia"/>
              </w:rPr>
              <w:t>环境监测的计量器具有：</w:t>
            </w:r>
            <w:r>
              <w:rPr>
                <w:rFonts w:hint="eastAsia"/>
                <w:u w:val="single"/>
                <w:lang w:val="en-US" w:eastAsia="zh-CN"/>
              </w:rPr>
              <w:t>可燃气体报警器</w:t>
            </w:r>
            <w:r>
              <w:rPr>
                <w:rFonts w:hint="eastAsia"/>
                <w:u w:val="single"/>
              </w:rPr>
              <w:t>（列举1~4种）</w:t>
            </w:r>
          </w:p>
          <w:p>
            <w:pPr>
              <w:shd w:val="clear" w:color="auto" w:fill="EBF1DE" w:themeFill="accent3" w:themeFillTint="32"/>
              <w:rPr>
                <w:u w:val="single"/>
              </w:rPr>
            </w:pPr>
            <w:r>
              <w:rPr>
                <w:rFonts w:hint="eastAsia"/>
              </w:rPr>
              <w:t>计量器具管理：■</w:t>
            </w:r>
            <w:r>
              <w:rPr>
                <w:rFonts w:hint="eastAsia"/>
                <w:color w:val="auto"/>
              </w:rPr>
              <w:t>进行了定期校准/检定</w:t>
            </w:r>
            <w:r>
              <w:rPr>
                <w:rFonts w:hint="eastAsia" w:ascii="Wingdings" w:hAnsi="Wingdings"/>
                <w:color w:val="auto"/>
              </w:rPr>
              <w:t>¨</w:t>
            </w:r>
            <w:r>
              <w:rPr>
                <w:rFonts w:hint="eastAsia"/>
                <w:color w:val="auto"/>
              </w:rPr>
              <w:t>未进行定期校</w:t>
            </w:r>
            <w:r>
              <w:rPr>
                <w:rFonts w:hint="eastAsia"/>
              </w:rPr>
              <w:t>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通过■招聘■换岗■培训■考核■辅导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val="en-US" w:eastAsia="zh-CN"/>
              </w:rPr>
              <w:t xml:space="preserve">   无</w:t>
            </w:r>
          </w:p>
          <w:p>
            <w:pPr>
              <w:shd w:val="clear" w:color="auto" w:fill="EBF1DE" w:themeFill="accent3"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rPr>
              <w:t>¨</w:t>
            </w:r>
            <w:r>
              <w:rPr>
                <w:rFonts w:hint="eastAsia"/>
              </w:rPr>
              <w:t>MSDS   □接收准则□外包控制要求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eastAsia="zh-CN"/>
                    </w:rPr>
                  </w:pPr>
                  <w:r>
                    <w:rPr>
                      <w:rFonts w:hint="eastAsia"/>
                      <w:lang w:eastAsia="zh-CN"/>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lang w:val="en-US" w:eastAsia="zh-CN"/>
              </w:rPr>
              <w:t>无</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val="en-US" w:eastAsia="zh-CN"/>
              </w:rPr>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eastAsia="宋体"/>
                <w:lang w:eastAsia="zh-CN"/>
              </w:rPr>
            </w:pP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lang w:eastAsia="zh-CN"/>
              </w:rPr>
              <w:t>日</w:t>
            </w:r>
            <w:r>
              <w:rPr>
                <w:rFonts w:hint="eastAsia"/>
              </w:rPr>
              <w:t>进行了</w:t>
            </w:r>
            <w:r>
              <w:rPr>
                <w:rFonts w:hint="eastAsia"/>
                <w:u w:val="none"/>
              </w:rPr>
              <w:t>消防应急预案</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asciiTheme="minorEastAsia" w:hAnsiTheme="minorEastAsia" w:eastAsiaTheme="minorEastAsia" w:cstheme="minorEastAsia"/>
                <w:bCs w:val="0"/>
                <w:spacing w:val="0"/>
                <w:kern w:val="2"/>
                <w:sz w:val="21"/>
                <w:szCs w:val="21"/>
                <w:lang w:val="en-US" w:eastAsia="zh-CN" w:bidi="ar-SA"/>
              </w:rPr>
              <w:t>2022年11月10日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主管部门抽查■其他</w:t>
            </w:r>
            <w:r>
              <w:rPr>
                <w:rFonts w:hint="eastAsia"/>
                <w:lang w:eastAsia="zh-CN"/>
              </w:rPr>
              <w:t>：</w:t>
            </w:r>
            <w:r>
              <w:rPr>
                <w:rFonts w:hint="eastAsia"/>
                <w:lang w:val="en-US" w:eastAsia="zh-CN"/>
              </w:rPr>
              <w:t>企业自查</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heme="minorEastAsia" w:hAnsiTheme="minorEastAsia" w:eastAsiaTheme="minorEastAsia" w:cstheme="minorEastAsia"/>
                <w:sz w:val="21"/>
                <w:szCs w:val="21"/>
                <w:lang w:eastAsia="zh-CN"/>
              </w:rPr>
              <w:t>2022年1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eastAsia="zh-CN"/>
              </w:rPr>
              <w:t>月22日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rPr>
              <w:t>■内审不符合项■外审不符合项■管理评审■目标统计分析结果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□OHSMS体系建立以来■定期（近一年）□其他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遵循环境法规，立足污染预防，追求节能低碳，创建环保品牌；</w:t>
            </w:r>
          </w:p>
          <w:p>
            <w:pPr>
              <w:ind w:firstLine="420" w:firstLineChars="200"/>
              <w:jc w:val="both"/>
              <w:rPr>
                <w:szCs w:val="21"/>
              </w:rPr>
            </w:pPr>
            <w:r>
              <w:rPr>
                <w:rFonts w:hint="eastAsia" w:asciiTheme="minorEastAsia" w:hAnsiTheme="minorEastAsia" w:eastAsiaTheme="minorEastAsia" w:cstheme="minorEastAsia"/>
                <w:sz w:val="21"/>
                <w:szCs w:val="21"/>
              </w:rPr>
              <w:t>倡导以人为本，关爱员工健康，和谐持续发展，彰显社会责任</w:t>
            </w:r>
            <w:r>
              <w:rPr>
                <w:rFonts w:hint="eastAsia"/>
                <w:szCs w:val="21"/>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综合部</w:t>
            </w:r>
            <w:r>
              <w:rPr>
                <w:rFonts w:hint="eastAsia"/>
              </w:rPr>
              <w:t>—</w:t>
            </w:r>
          </w:p>
          <w:p>
            <w:r>
              <w:rPr>
                <w:rFonts w:hint="eastAsia"/>
              </w:rPr>
              <w:t>安全的主管部门是—</w:t>
            </w:r>
            <w:r>
              <w:rPr>
                <w:rFonts w:hint="eastAsia"/>
                <w:lang w:val="en-US" w:eastAsia="zh-CN"/>
              </w:rPr>
              <w:t>综合部</w:t>
            </w:r>
            <w:r>
              <w:rPr>
                <w:rFonts w:hint="eastAsia"/>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heme="minorEastAsia" w:hAnsiTheme="minorEastAsia" w:eastAsiaTheme="minorEastAsia" w:cstheme="minorEastAsia"/>
                <w:bCs/>
                <w:color w:val="auto"/>
                <w:sz w:val="21"/>
                <w:szCs w:val="21"/>
                <w:lang w:val="en-US" w:eastAsia="zh-CN"/>
              </w:rPr>
              <w:t>张翠翠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rPr>
                    <w:t>各岗位主要人员的离职等风险。</w:t>
                  </w:r>
                </w:p>
              </w:tc>
              <w:tc>
                <w:tcPr>
                  <w:tcW w:w="3965" w:type="dxa"/>
                  <w:vAlign w:val="top"/>
                </w:tcPr>
                <w:p>
                  <w:pPr>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lang w:eastAsia="zh-CN"/>
                    </w:rPr>
                    <w:t>综合部</w:t>
                  </w:r>
                  <w:r>
                    <w:rPr>
                      <w:rFonts w:hint="eastAsia" w:ascii="Times New Roman" w:hAnsi="Times New Roman" w:eastAsia="宋体" w:cs="Times New Roman"/>
                    </w:rPr>
                    <w:t>组织培训，通过自学/外培等方式进一步提高管理团队经验.</w:t>
                  </w:r>
                </w:p>
              </w:tc>
              <w:tc>
                <w:tcPr>
                  <w:tcW w:w="1717" w:type="dxa"/>
                  <w:vAlign w:val="top"/>
                </w:tcPr>
                <w:p>
                  <w:pPr>
                    <w:rPr>
                      <w:rFonts w:hint="default" w:eastAsia="宋体"/>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rPr>
                    <w:t>资金风险，</w:t>
                  </w:r>
                </w:p>
              </w:tc>
              <w:tc>
                <w:tcPr>
                  <w:tcW w:w="3965" w:type="dxa"/>
                  <w:vAlign w:val="top"/>
                </w:tcPr>
                <w:p>
                  <w:pPr>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rPr>
                    <w:t>公司建立一定得准备预备资金，防止一时的资金断裂对公司运行造成重大影响</w:t>
                  </w:r>
                </w:p>
              </w:tc>
              <w:tc>
                <w:tcPr>
                  <w:tcW w:w="1717" w:type="dxa"/>
                  <w:vAlign w:val="top"/>
                </w:tcPr>
                <w:p>
                  <w:pPr>
                    <w:rPr>
                      <w:rFonts w:hint="default" w:eastAsia="宋体"/>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eastAsia="宋体"/>
                      <w:lang w:eastAsia="zh-CN"/>
                    </w:rPr>
                  </w:pPr>
                  <w:r>
                    <w:rPr>
                      <w:rFonts w:hint="eastAsia" w:ascii="Times New Roman" w:hAnsi="Times New Roman" w:eastAsia="宋体" w:cs="Times New Roman"/>
                    </w:rPr>
                    <w:t>法律法规收集不全；法律法规收集不及时；法律法规变化不了解。</w:t>
                  </w:r>
                </w:p>
              </w:tc>
              <w:tc>
                <w:tcPr>
                  <w:tcW w:w="3965" w:type="dxa"/>
                  <w:vAlign w:val="top"/>
                </w:tcPr>
                <w:p>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vAlign w:val="top"/>
                </w:tcPr>
                <w:p>
                  <w:r>
                    <w:rPr>
                      <w:rFonts w:hint="eastAsia" w:ascii="Times New Roman" w:hAnsi="Times New Roman" w:eastAsia="宋体" w:cs="Times New Roman"/>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t>□机械伤害■触电□化学伤害□噪声□粉尘□危险作业□高低温□危化品泄露□压力容器爆炸■火灾■其他</w:t>
            </w:r>
            <w:r>
              <w:rPr>
                <w:rFonts w:hint="eastAsia"/>
                <w:lang w:eastAsia="zh-CN"/>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lang w:val="en-US" w:eastAsia="zh-CN"/>
                    </w:rPr>
                    <w:t>各类重伤以上事故发生率为零</w:t>
                  </w:r>
                </w:p>
              </w:tc>
              <w:tc>
                <w:tcPr>
                  <w:tcW w:w="3136" w:type="dxa"/>
                  <w:shd w:val="clear" w:color="auto" w:fill="auto"/>
                  <w:vAlign w:val="center"/>
                </w:tcPr>
                <w:p>
                  <w:pPr>
                    <w:rPr>
                      <w:rFonts w:hint="eastAsia" w:ascii="宋体" w:hAnsi="宋体" w:eastAsia="宋体" w:cs="Times New Roman"/>
                      <w:kern w:val="2"/>
                      <w:sz w:val="21"/>
                      <w:szCs w:val="21"/>
                      <w:lang w:val="en-GB" w:eastAsia="zh-CN" w:bidi="ar-SA"/>
                    </w:rPr>
                  </w:pPr>
                  <w:r>
                    <w:rPr>
                      <w:rFonts w:hint="eastAsia"/>
                      <w:lang w:val="en-US" w:eastAsia="zh-CN"/>
                    </w:rPr>
                    <w:t>运行控制</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4"/>
                    <w:numPr>
                      <w:ilvl w:val="0"/>
                      <w:numId w:val="0"/>
                    </w:numPr>
                    <w:ind w:left="0" w:leftChars="0" w:firstLine="0" w:firstLineChars="0"/>
                  </w:pPr>
                  <w:r>
                    <w:rPr>
                      <w:rFonts w:hint="eastAsia" w:ascii="宋体" w:hAnsi="宋体" w:eastAsia="宋体" w:cs="宋体"/>
                      <w:color w:val="000000"/>
                      <w:kern w:val="2"/>
                      <w:sz w:val="21"/>
                      <w:szCs w:val="21"/>
                      <w:lang w:val="en-US" w:eastAsia="zh-CN" w:bidi="ar-SA"/>
                    </w:rPr>
                    <w:t>触电事故发生率为零</w:t>
                  </w:r>
                </w:p>
              </w:tc>
              <w:tc>
                <w:tcPr>
                  <w:tcW w:w="3136" w:type="dxa"/>
                  <w:shd w:val="clear" w:color="auto" w:fill="auto"/>
                  <w:vAlign w:val="center"/>
                </w:tcPr>
                <w:p>
                  <w:pPr>
                    <w:rPr>
                      <w:rFonts w:hint="eastAsia" w:ascii="宋体" w:hAnsi="宋体" w:eastAsia="宋体" w:cs="Times New Roman"/>
                      <w:kern w:val="2"/>
                      <w:sz w:val="21"/>
                      <w:szCs w:val="21"/>
                      <w:lang w:val="en-US" w:eastAsia="zh-CN" w:bidi="ar-SA"/>
                    </w:rPr>
                  </w:pPr>
                  <w:r>
                    <w:rPr>
                      <w:rFonts w:hint="eastAsia"/>
                      <w:lang w:val="en-US" w:eastAsia="zh-CN"/>
                    </w:rPr>
                    <w:t>运行控制</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pPr>
            <w:r>
              <w:rPr>
                <w:rFonts w:hint="eastAsia"/>
              </w:rPr>
              <w:t>建筑面积</w:t>
            </w:r>
            <w:r>
              <w:rPr>
                <w:rFonts w:hint="eastAsia"/>
                <w:lang w:val="en-US" w:eastAsia="zh-CN"/>
              </w:rPr>
              <w:t>270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rPr>
                <w:rFonts w:hint="default"/>
                <w:u w:val="single"/>
                <w:lang w:val="en-US"/>
              </w:rPr>
            </w:pPr>
            <w:r>
              <w:rPr>
                <w:rFonts w:hint="eastAsia"/>
              </w:rPr>
              <w:t>主要生产设备有：</w:t>
            </w:r>
            <w:r>
              <w:rPr>
                <w:rFonts w:hint="eastAsia"/>
                <w:szCs w:val="21"/>
              </w:rPr>
              <w:t>电话，电脑、打印机、复印机、空调</w:t>
            </w:r>
            <w:r>
              <w:rPr>
                <w:rFonts w:hint="eastAsia"/>
                <w:u w:val="single"/>
                <w:lang w:val="en-US" w:eastAsia="zh-CN"/>
              </w:rPr>
              <w:t>等</w:t>
            </w:r>
          </w:p>
          <w:p>
            <w:pPr>
              <w:rPr>
                <w:rFonts w:hint="default" w:eastAsia="宋体"/>
                <w:lang w:val="en-US" w:eastAsia="zh-CN"/>
              </w:rPr>
            </w:pPr>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联锁装置■漏电开关</w:t>
            </w:r>
            <w:r>
              <w:rPr>
                <w:rFonts w:hint="eastAsia" w:ascii="Wingdings" w:hAnsi="Wingdings"/>
              </w:rPr>
              <w:t>¨</w:t>
            </w:r>
            <w:r>
              <w:rPr>
                <w:rFonts w:hint="eastAsia"/>
              </w:rPr>
              <w:t>报警系统■消防系统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color w:val="auto"/>
              </w:rPr>
              <w:t>■</w:t>
            </w:r>
            <w:bookmarkStart w:id="31" w:name="_GoBack"/>
            <w:bookmarkEnd w:id="31"/>
            <w:r>
              <w:rPr>
                <w:rFonts w:hint="eastAsia"/>
              </w:rPr>
              <w:t>外校</w:t>
            </w:r>
          </w:p>
          <w:p>
            <w:pPr>
              <w:rPr>
                <w:rFonts w:hint="eastAsia" w:eastAsia="宋体"/>
                <w:lang w:val="en-US" w:eastAsia="zh-CN"/>
              </w:rPr>
            </w:pPr>
            <w:r>
              <w:rPr>
                <w:rFonts w:hint="eastAsia"/>
              </w:rPr>
              <w:t>职业健康安全监测的计量器具有：</w:t>
            </w:r>
          </w:p>
          <w:p>
            <w:pPr>
              <w:rPr>
                <w:color w:val="auto"/>
              </w:rPr>
            </w:pPr>
            <w:r>
              <w:rPr>
                <w:rFonts w:hint="eastAsia" w:ascii="Wingdings" w:hAnsi="Wingdings"/>
              </w:rPr>
              <w:t>¨</w:t>
            </w:r>
            <w:r>
              <w:rPr>
                <w:rFonts w:hint="eastAsia"/>
              </w:rPr>
              <w:t>压力表</w:t>
            </w:r>
            <w:r>
              <w:rPr>
                <w:rFonts w:hint="eastAsia"/>
                <w:color w:val="auto"/>
              </w:rPr>
              <w:t>■可燃气体探测器</w:t>
            </w:r>
            <w:r>
              <w:rPr>
                <w:rFonts w:hint="eastAsia" w:ascii="Wingdings" w:hAnsi="Wingdings"/>
                <w:color w:val="auto"/>
              </w:rPr>
              <w:t>¨</w:t>
            </w:r>
            <w:r>
              <w:rPr>
                <w:rFonts w:hint="eastAsia"/>
                <w:color w:val="auto"/>
              </w:rPr>
              <w:t>摇表</w:t>
            </w:r>
            <w:r>
              <w:rPr>
                <w:rFonts w:hint="eastAsia" w:ascii="Wingdings" w:hAnsi="Wingdings"/>
                <w:color w:val="auto"/>
              </w:rPr>
              <w:t>¨</w:t>
            </w:r>
            <w:r>
              <w:rPr>
                <w:rFonts w:hint="eastAsia"/>
                <w:color w:val="auto"/>
              </w:rPr>
              <w:t>验电器</w:t>
            </w:r>
            <w:r>
              <w:rPr>
                <w:rFonts w:hint="eastAsia" w:ascii="Wingdings" w:hAnsi="Wingdings"/>
                <w:color w:val="auto"/>
              </w:rPr>
              <w:t>¨</w:t>
            </w:r>
            <w:r>
              <w:rPr>
                <w:rFonts w:hint="eastAsia"/>
                <w:color w:val="auto"/>
              </w:rPr>
              <w:t>氧含量测定仪</w:t>
            </w:r>
            <w:r>
              <w:rPr>
                <w:rFonts w:hint="eastAsia" w:ascii="Wingdings" w:hAnsi="Wingdings"/>
                <w:color w:val="auto"/>
              </w:rPr>
              <w:t>¨</w:t>
            </w:r>
            <w:r>
              <w:rPr>
                <w:rFonts w:hint="eastAsia"/>
                <w:color w:val="auto"/>
              </w:rPr>
              <w:t>声级计</w:t>
            </w:r>
            <w:r>
              <w:rPr>
                <w:rFonts w:hint="eastAsia" w:ascii="Wingdings" w:hAnsi="Wingdings"/>
                <w:color w:val="auto"/>
              </w:rPr>
              <w:t>¨</w:t>
            </w:r>
            <w:r>
              <w:rPr>
                <w:rFonts w:hint="eastAsia"/>
                <w:color w:val="auto"/>
              </w:rPr>
              <w:t>不适用</w:t>
            </w:r>
          </w:p>
          <w:p>
            <w:pPr>
              <w:rPr>
                <w:u w:val="single"/>
              </w:rPr>
            </w:pPr>
            <w:r>
              <w:rPr>
                <w:rFonts w:hint="eastAsia"/>
                <w:color w:val="auto"/>
              </w:rPr>
              <w:t>计量器具管理：</w:t>
            </w:r>
            <w:r>
              <w:rPr>
                <w:rFonts w:hint="eastAsia"/>
                <w:color w:val="auto"/>
              </w:rPr>
              <w:t>■</w:t>
            </w:r>
            <w:r>
              <w:rPr>
                <w:rFonts w:hint="eastAsia"/>
                <w:color w:val="auto"/>
              </w:rPr>
              <w:t>进行了定期校准/检定</w:t>
            </w:r>
            <w:r>
              <w:rPr>
                <w:rFonts w:hint="eastAsia" w:ascii="Wingdings" w:hAnsi="Wingdings"/>
                <w:color w:val="auto"/>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通过■招聘■换岗■培训■考核■辅导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通过：■会议传达■标语■培训■看板■局域网</w:t>
            </w:r>
            <w:r>
              <w:rPr>
                <w:rFonts w:hint="eastAsia" w:ascii="Wingdings" w:hAnsi="Wingdings"/>
              </w:rPr>
              <w:t>¨</w:t>
            </w:r>
            <w:r>
              <w:rPr>
                <w:rFonts w:hint="eastAsia"/>
              </w:rPr>
              <w:t>其他</w:t>
            </w:r>
          </w:p>
          <w:p/>
          <w:p>
            <w:r>
              <w:rPr>
                <w:rFonts w:hint="eastAsia"/>
              </w:rPr>
              <w:t>实施了员工三级安全教育：■入职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w:t>
            </w:r>
            <w:r>
              <w:rPr>
                <w:rFonts w:hint="eastAsia" w:ascii="Wingdings" w:hAnsi="Wingdings"/>
              </w:rPr>
              <w:t>¨</w:t>
            </w:r>
            <w:r>
              <w:rPr>
                <w:rFonts w:hint="eastAsia"/>
              </w:rPr>
              <w:t>其他</w:t>
            </w:r>
          </w:p>
          <w:p>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ascii="Wingdings" w:hAnsi="Wingdings"/>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定期检测□压力巡视</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减少作业时间□空间隔离□防暑降温用品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lang w:eastAsia="zh-CN"/>
                    </w:rPr>
                  </w:pPr>
                  <w:r>
                    <w:rPr>
                      <w:rFonts w:hint="eastAsia"/>
                      <w:lang w:eastAsia="zh-CN"/>
                    </w:rPr>
                    <w:t>爆炸</w:t>
                  </w:r>
                </w:p>
              </w:tc>
              <w:tc>
                <w:tcPr>
                  <w:tcW w:w="4725" w:type="dxa"/>
                </w:tcPr>
                <w:p>
                  <w:pPr>
                    <w:jc w:val="left"/>
                  </w:pPr>
                </w:p>
              </w:tc>
              <w:tc>
                <w:tcPr>
                  <w:tcW w:w="2205" w:type="dxa"/>
                </w:tcPr>
                <w:p>
                  <w:pPr>
                    <w:jc w:val="left"/>
                  </w:pPr>
                  <w:r>
                    <w:rPr>
                      <w:rFonts w:hint="eastAsia"/>
                      <w:lang w:val="en-US" w:eastAsia="zh-CN"/>
                    </w:rPr>
                    <w:t>符合</w:t>
                  </w: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r>
              <w:rPr>
                <w:rFonts w:hint="eastAsia"/>
                <w:lang w:eastAsia="zh-CN"/>
              </w:rPr>
              <w:t>：</w:t>
            </w:r>
            <w:r>
              <w:rPr>
                <w:rFonts w:hint="eastAsia"/>
                <w:lang w:val="en-US" w:eastAsia="zh-CN"/>
              </w:rPr>
              <w:t>无</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组织应在生产和服务提供期间对危化品的采购、运输、使用、储存的危险源进行控制，以确保符合MSDS和法规要求。</w:t>
            </w:r>
            <w:r>
              <w:rPr>
                <w:rFonts w:hint="eastAsia"/>
                <w:lang w:val="en-US" w:eastAsia="zh-CN"/>
              </w:rPr>
              <w:t>无</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pPr>
              <w:rPr>
                <w:rFonts w:hint="eastAsia" w:eastAsia="宋体"/>
                <w:lang w:val="en-US"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审核周期内发生过紧急情况：■未发生</w:t>
            </w:r>
            <w:r>
              <w:rPr>
                <w:rFonts w:hint="eastAsia" w:ascii="Wingdings" w:hAnsi="Wingdings"/>
              </w:rPr>
              <w:t>¨</w:t>
            </w:r>
            <w:r>
              <w:rPr>
                <w:rFonts w:hint="eastAsia"/>
              </w:rPr>
              <w:t>已发生：。</w:t>
            </w:r>
          </w:p>
          <w:p/>
          <w:p>
            <w:r>
              <w:rPr>
                <w:rFonts w:hint="eastAsia"/>
              </w:rPr>
              <w:t>于</w:t>
            </w: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lang w:eastAsia="zh-CN"/>
              </w:rPr>
              <w:t>日</w:t>
            </w:r>
            <w:r>
              <w:rPr>
                <w:rFonts w:hint="eastAsia" w:asciiTheme="minorEastAsia" w:hAnsiTheme="minorEastAsia" w:eastAsiaTheme="minorEastAsia" w:cstheme="minorEastAsia"/>
                <w:sz w:val="21"/>
                <w:szCs w:val="21"/>
              </w:rPr>
              <w:t>“火灾演练记录”</w:t>
            </w:r>
            <w:r>
              <w:rPr>
                <w:rFonts w:hint="eastAsia"/>
                <w:lang w:val="en-US" w:eastAsia="zh-CN"/>
              </w:rPr>
              <w:t>、</w:t>
            </w:r>
            <w:r>
              <w:rPr>
                <w:rFonts w:hint="eastAsia" w:asciiTheme="minorEastAsia" w:hAnsiTheme="minorEastAsia" w:eastAsiaTheme="minorEastAsia" w:cstheme="minorEastAsia"/>
                <w:sz w:val="21"/>
                <w:szCs w:val="21"/>
                <w:lang w:val="en-US" w:eastAsia="zh-CN"/>
              </w:rPr>
              <w:t>2022年9月18日</w:t>
            </w:r>
            <w:r>
              <w:rPr>
                <w:rFonts w:hint="eastAsia" w:asciiTheme="minorEastAsia" w:hAnsiTheme="minorEastAsia" w:eastAsiaTheme="minorEastAsia" w:cstheme="minorEastAsia"/>
                <w:sz w:val="21"/>
                <w:szCs w:val="21"/>
                <w:lang w:eastAsia="zh-CN"/>
              </w:rPr>
              <w:t>“触电</w:t>
            </w:r>
            <w:r>
              <w:rPr>
                <w:rFonts w:hint="eastAsia" w:asciiTheme="minorEastAsia" w:hAnsiTheme="minorEastAsia" w:eastAsiaTheme="minorEastAsia" w:cstheme="minorEastAsia"/>
                <w:sz w:val="21"/>
                <w:szCs w:val="21"/>
              </w:rPr>
              <w:t>演练记录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2022年9月8日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000000"/>
                <w:sz w:val="21"/>
                <w:szCs w:val="21"/>
              </w:rPr>
              <w:t>天然气泄漏应急演练</w:t>
            </w:r>
            <w:r>
              <w:rPr>
                <w:rFonts w:hint="eastAsia" w:asciiTheme="minorEastAsia" w:hAnsiTheme="minorEastAsia" w:eastAsiaTheme="minorEastAsia" w:cstheme="minorEastAsia"/>
                <w:sz w:val="21"/>
                <w:szCs w:val="21"/>
              </w:rPr>
              <w:t>记录</w:t>
            </w:r>
            <w:r>
              <w:rPr>
                <w:rFonts w:hint="eastAsia" w:asciiTheme="minorEastAsia" w:hAnsiTheme="minorEastAsia" w:eastAsiaTheme="minorEastAsia" w:cstheme="minorEastAsia"/>
                <w:sz w:val="21"/>
                <w:szCs w:val="21"/>
                <w:lang w:eastAsia="zh-CN"/>
              </w:rPr>
              <w:t>”</w:t>
            </w:r>
            <w:r>
              <w:rPr>
                <w:rFonts w:hint="eastAsia"/>
                <w:lang w:eastAsia="zh-CN"/>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asciiTheme="minorEastAsia" w:hAnsiTheme="minorEastAsia" w:eastAsiaTheme="minorEastAsia" w:cstheme="minorEastAsia"/>
                <w:bCs w:val="0"/>
                <w:spacing w:val="0"/>
                <w:kern w:val="2"/>
                <w:sz w:val="21"/>
                <w:szCs w:val="21"/>
                <w:lang w:val="en-US" w:eastAsia="zh-CN" w:bidi="ar-SA"/>
              </w:rPr>
              <w:t>2022年9月30日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eastAsia="宋体"/>
                <w:lang w:val="en-US" w:eastAsia="zh-CN"/>
              </w:rPr>
            </w:pPr>
            <w:r>
              <w:rPr>
                <w:rFonts w:hint="eastAsia"/>
              </w:rPr>
              <w:t>实施的检测：■企业自检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r>
              <w:rPr>
                <w:rFonts w:hint="eastAsia"/>
                <w:lang w:eastAsia="zh-CN"/>
              </w:rPr>
              <w:t>：</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heme="minorEastAsia" w:hAnsiTheme="minorEastAsia" w:eastAsiaTheme="minorEastAsia" w:cstheme="minorEastAsia"/>
                <w:sz w:val="21"/>
                <w:szCs w:val="21"/>
                <w:lang w:eastAsia="zh-CN"/>
              </w:rPr>
              <w:t>2022年1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eastAsia="zh-CN"/>
              </w:rPr>
              <w:t>月22日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pPr>
              <w:rPr>
                <w:rFonts w:hint="eastAsia" w:eastAsia="宋体"/>
                <w:lang w:val="en-US" w:eastAsia="zh-CN"/>
              </w:rPr>
            </w:pPr>
            <w:r>
              <w:rPr>
                <w:rFonts w:hint="eastAsia"/>
              </w:rPr>
              <w:t>针对下列方面采取了事件调查：</w:t>
            </w:r>
            <w:r>
              <w:rPr>
                <w:rFonts w:hint="eastAsia"/>
                <w:lang w:val="en-US" w:eastAsia="zh-CN"/>
              </w:rPr>
              <w:t>无</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■内审不符合项■外审不符合项■管理评审■目标统计分析结果</w:t>
            </w:r>
            <w:r>
              <w:rPr>
                <w:rFonts w:hint="eastAsia" w:ascii="Wingdings" w:hAnsi="Wingdings"/>
              </w:rPr>
              <w:t>¨</w:t>
            </w:r>
            <w:r>
              <w:rPr>
                <w:rFonts w:hint="eastAsia"/>
              </w:rPr>
              <w:t>其他</w:t>
            </w:r>
          </w:p>
          <w:p/>
          <w:p>
            <w:r>
              <w:rPr>
                <w:rFonts w:hint="eastAsia"/>
              </w:rPr>
              <w:t>组织将事件调查和纠正措施的信息沟通给：■相关的工作人员■员工代表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BjOGZiOGIwYzZhZjY0NGFmMmU3MGM4YjkxMmEwYWUifQ=="/>
  </w:docVars>
  <w:rsids>
    <w:rsidRoot w:val="00000000"/>
    <w:rsid w:val="14D80D5D"/>
    <w:rsid w:val="4CA35FD1"/>
    <w:rsid w:val="528933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15158</Words>
  <Characters>15886</Characters>
  <Lines>150</Lines>
  <Paragraphs>42</Paragraphs>
  <TotalTime>0</TotalTime>
  <ScaleCrop>false</ScaleCrop>
  <LinksUpToDate>false</LinksUpToDate>
  <CharactersWithSpaces>16028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2023-03-17T01:25:35Z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