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w:t>
      </w:r>
      <w:r>
        <w:rPr>
          <w:rFonts w:hint="eastAsia" w:ascii="楷体" w:hAnsi="楷体" w:eastAsia="楷体"/>
          <w:b/>
          <w:color w:val="000000" w:themeColor="text1"/>
          <w:sz w:val="52"/>
          <w:szCs w:val="52"/>
          <w:lang w:val="en-US" w:eastAsia="zh-CN"/>
        </w:rPr>
        <w:t>现场</w:t>
      </w:r>
      <w:r>
        <w:rPr>
          <w:rFonts w:hint="eastAsia" w:ascii="楷体" w:hAnsi="楷体" w:eastAsia="楷体"/>
          <w:b/>
          <w:color w:val="000000" w:themeColor="text1"/>
          <w:sz w:val="52"/>
          <w:szCs w:val="52"/>
        </w:rPr>
        <w:t>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江西盛通网络有限公司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EC:28.07.01</w:t>
            </w:r>
          </w:p>
          <w:p>
            <w:pPr>
              <w:spacing w:line="240" w:lineRule="exact"/>
              <w:jc w:val="center"/>
              <w:rPr>
                <w:b/>
                <w:color w:val="000000" w:themeColor="text1"/>
                <w:sz w:val="20"/>
                <w:szCs w:val="20"/>
              </w:rPr>
            </w:pPr>
            <w:r>
              <w:rPr>
                <w:b/>
                <w:color w:val="000000" w:themeColor="text1"/>
                <w:sz w:val="20"/>
                <w:szCs w:val="20"/>
              </w:rPr>
              <w:t>E:28.07.01</w:t>
            </w:r>
          </w:p>
          <w:p>
            <w:pPr>
              <w:spacing w:line="240" w:lineRule="exact"/>
              <w:jc w:val="center"/>
              <w:rPr>
                <w:b/>
                <w:color w:val="000000" w:themeColor="text1"/>
                <w:sz w:val="20"/>
                <w:szCs w:val="20"/>
              </w:rPr>
            </w:pPr>
            <w:r>
              <w:rPr>
                <w:b/>
                <w:color w:val="000000" w:themeColor="text1"/>
                <w:sz w:val="20"/>
                <w:szCs w:val="20"/>
              </w:rP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EC：GB/T19001-2016/ISO9001:2015和GB/T50430-2017,E：GB/T 24001-2016/ISO14001:2015,O：ISO 45001：2018</w:t>
      </w:r>
      <w:bookmarkEnd w:id="3"/>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江西盛通网络有限公司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34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江西省南昌市青山湖区京东大道300号水榭尚都A1栋610室(第6层)</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江西省南昌市青山湖区京东大道300号水榭尚都A1栋610室(第6层)</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胡烨</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15179117553</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王霞</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王霞</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陈华英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EC：建筑智能化工程的施工（仅限资质范围内）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E：建筑智能化工程的施工（仅限资质范围内）及其场所所涉及的环境管理活动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O：建筑智能化工程的施工（仅限资质范围内）及其场所所涉及的职业健康安全管理活动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EC：28.07.01</w:t>
            </w:r>
          </w:p>
          <w:p>
            <w:pPr>
              <w:spacing w:line="320" w:lineRule="exact"/>
              <w:rPr>
                <w:rFonts w:ascii="宋体" w:hAnsi="宋体"/>
                <w:b/>
                <w:color w:val="000000" w:themeColor="text1"/>
                <w:sz w:val="20"/>
                <w:szCs w:val="20"/>
              </w:rPr>
            </w:pPr>
            <w:r>
              <w:rPr>
                <w:rFonts w:ascii="宋体" w:hAnsi="宋体"/>
                <w:b/>
                <w:color w:val="000000" w:themeColor="text1"/>
                <w:sz w:val="20"/>
                <w:szCs w:val="20"/>
              </w:rPr>
              <w:t>E：28.07.01</w:t>
            </w:r>
          </w:p>
          <w:p>
            <w:pPr>
              <w:spacing w:line="320" w:lineRule="exact"/>
              <w:rPr>
                <w:rFonts w:ascii="宋体" w:hAnsi="宋体"/>
                <w:b/>
                <w:color w:val="000000" w:themeColor="text1"/>
                <w:sz w:val="20"/>
                <w:szCs w:val="20"/>
              </w:rPr>
            </w:pPr>
            <w:r>
              <w:rPr>
                <w:rFonts w:ascii="宋体" w:hAnsi="宋体"/>
                <w:b/>
                <w:color w:val="000000" w:themeColor="text1"/>
                <w:sz w:val="20"/>
                <w:szCs w:val="20"/>
              </w:rPr>
              <w:t>O：28.07.01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2019-06-01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824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jc w:val="center"/>
              <w:rPr>
                <w:rFonts w:ascii="宋体" w:hAnsi="宋体"/>
                <w:b/>
                <w:color w:val="000000" w:themeColor="text1"/>
                <w:sz w:val="20"/>
                <w:szCs w:val="20"/>
              </w:rPr>
            </w:pPr>
            <w:r>
              <w:rPr>
                <w:rFonts w:hint="eastAsia" w:asciiTheme="minorEastAsia" w:hAnsiTheme="minorEastAsia" w:eastAsiaTheme="minorEastAsia" w:cstheme="minorEastAsia"/>
                <w:b w:val="0"/>
                <w:bCs w:val="0"/>
                <w:sz w:val="21"/>
                <w:szCs w:val="21"/>
              </w:rPr>
              <w:t>管理层</w:t>
            </w:r>
          </w:p>
        </w:tc>
        <w:tc>
          <w:tcPr>
            <w:tcW w:w="8241"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ascii="宋体" w:hAnsi="宋体"/>
                <w:b/>
                <w:color w:val="000000" w:themeColor="text1"/>
                <w:spacing w:val="-20"/>
                <w:sz w:val="20"/>
                <w:szCs w:val="20"/>
                <w:u w:val="single"/>
              </w:rPr>
            </w:pPr>
            <w:r>
              <w:rPr>
                <w:rFonts w:hint="eastAsia" w:asciiTheme="minorEastAsia" w:hAnsiTheme="minorEastAsia" w:eastAsiaTheme="minorEastAsia" w:cstheme="minorEastAsia"/>
                <w:b w:val="0"/>
                <w:bCs w:val="0"/>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heme="minorEastAsia" w:hAnsiTheme="minorEastAsia" w:eastAsiaTheme="minorEastAsia" w:cstheme="minorEastAsia"/>
                <w:b w:val="0"/>
                <w:bCs w:val="0"/>
                <w:sz w:val="21"/>
                <w:szCs w:val="21"/>
                <w:lang w:val="en-US" w:eastAsia="zh-CN"/>
              </w:rPr>
              <w:t>合规义务；</w:t>
            </w:r>
            <w:r>
              <w:rPr>
                <w:rFonts w:hint="eastAsia" w:asciiTheme="minorEastAsia" w:hAnsiTheme="minorEastAsia" w:eastAsiaTheme="minorEastAsia" w:cstheme="minorEastAsia"/>
                <w:b w:val="0"/>
                <w:bCs w:val="0"/>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jc w:val="center"/>
              <w:rPr>
                <w:rFonts w:ascii="宋体" w:hAnsi="宋体"/>
                <w:b/>
                <w:color w:val="000000" w:themeColor="text1"/>
                <w:sz w:val="20"/>
                <w:szCs w:val="20"/>
              </w:rPr>
            </w:pPr>
            <w:r>
              <w:rPr>
                <w:rFonts w:hint="eastAsia" w:asciiTheme="minorEastAsia" w:hAnsiTheme="minorEastAsia" w:eastAsiaTheme="minorEastAsia" w:cstheme="minorEastAsia"/>
                <w:b w:val="0"/>
                <w:bCs w:val="0"/>
                <w:sz w:val="21"/>
                <w:szCs w:val="21"/>
              </w:rPr>
              <w:t>综合</w:t>
            </w:r>
            <w:r>
              <w:rPr>
                <w:rFonts w:hint="eastAsia" w:asciiTheme="minorEastAsia" w:hAnsiTheme="minorEastAsia" w:eastAsiaTheme="minorEastAsia" w:cstheme="minorEastAsia"/>
                <w:b w:val="0"/>
                <w:bCs w:val="0"/>
                <w:sz w:val="21"/>
                <w:szCs w:val="21"/>
                <w:lang w:val="en-US" w:eastAsia="zh-CN"/>
              </w:rPr>
              <w:t>服务</w:t>
            </w:r>
            <w:r>
              <w:rPr>
                <w:rFonts w:hint="eastAsia" w:asciiTheme="minorEastAsia" w:hAnsiTheme="minorEastAsia" w:eastAsiaTheme="minorEastAsia" w:cstheme="minorEastAsia"/>
                <w:b w:val="0"/>
                <w:bCs w:val="0"/>
                <w:sz w:val="21"/>
                <w:szCs w:val="21"/>
              </w:rPr>
              <w:t>部</w:t>
            </w:r>
          </w:p>
        </w:tc>
        <w:tc>
          <w:tcPr>
            <w:tcW w:w="8241"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ascii="宋体" w:hAnsi="宋体"/>
                <w:b/>
                <w:color w:val="000000" w:themeColor="text1"/>
                <w:spacing w:val="-20"/>
                <w:sz w:val="20"/>
                <w:szCs w:val="20"/>
                <w:u w:val="single"/>
              </w:rPr>
            </w:pPr>
            <w:r>
              <w:rPr>
                <w:rFonts w:hint="eastAsia" w:asciiTheme="minorEastAsia" w:hAnsiTheme="minorEastAsia" w:eastAsiaTheme="minorEastAsia" w:cstheme="minorEastAsia"/>
                <w:b w:val="0"/>
                <w:bCs w:val="0"/>
                <w:sz w:val="21"/>
                <w:szCs w:val="21"/>
              </w:rPr>
              <w:t>组织的岗位、职责权限；目标、方案；环境因素/危险源识别评价；运行控制；应急准备和响应；合规义务；法律法规要求；绩效的监视和测量；合规性评价；内部审核；事件、不合格及纠正和预防措施控制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jc w:val="center"/>
              <w:rPr>
                <w:rFonts w:ascii="宋体" w:hAnsi="宋体"/>
                <w:b/>
                <w:color w:val="000000" w:themeColor="text1"/>
                <w:sz w:val="20"/>
                <w:szCs w:val="20"/>
              </w:rPr>
            </w:pPr>
            <w:r>
              <w:rPr>
                <w:rFonts w:hint="eastAsia" w:asciiTheme="minorEastAsia" w:hAnsiTheme="minorEastAsia" w:eastAsiaTheme="minorEastAsia" w:cstheme="minorEastAsia"/>
                <w:b w:val="0"/>
                <w:bCs w:val="0"/>
                <w:sz w:val="21"/>
                <w:szCs w:val="21"/>
              </w:rPr>
              <w:t>市场</w:t>
            </w:r>
            <w:r>
              <w:rPr>
                <w:rFonts w:hint="eastAsia" w:asciiTheme="minorEastAsia" w:hAnsiTheme="minorEastAsia" w:eastAsiaTheme="minorEastAsia" w:cstheme="minorEastAsia"/>
                <w:b w:val="0"/>
                <w:bCs w:val="0"/>
                <w:sz w:val="21"/>
                <w:szCs w:val="21"/>
                <w:lang w:val="en-US" w:eastAsia="zh-CN"/>
              </w:rPr>
              <w:t>营销部</w:t>
            </w:r>
          </w:p>
        </w:tc>
        <w:tc>
          <w:tcPr>
            <w:tcW w:w="8241" w:type="dxa"/>
            <w:vAlign w:val="top"/>
          </w:tcPr>
          <w:p>
            <w:pPr>
              <w:spacing w:line="300" w:lineRule="exact"/>
              <w:jc w:val="left"/>
              <w:rPr>
                <w:rFonts w:ascii="宋体" w:hAnsi="宋体"/>
                <w:b/>
                <w:color w:val="000000" w:themeColor="text1"/>
                <w:spacing w:val="-20"/>
                <w:sz w:val="20"/>
                <w:szCs w:val="20"/>
                <w:u w:val="single"/>
              </w:rPr>
            </w:pPr>
            <w:r>
              <w:rPr>
                <w:rFonts w:hint="eastAsia" w:ascii="宋体" w:hAnsi="宋体" w:cstheme="minorEastAsia"/>
                <w:color w:val="auto"/>
                <w:sz w:val="21"/>
                <w:szCs w:val="21"/>
              </w:rPr>
              <w:t>组织的岗位、职责权限；目标、方案；环境因素/危险源识别评价；产品和服务要求；顾客满意；采购；运行控制；应急准备和响应；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top"/>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b w:val="0"/>
                <w:bCs w:val="0"/>
                <w:sz w:val="21"/>
                <w:szCs w:val="21"/>
                <w:lang w:val="en-US" w:eastAsia="zh-CN"/>
              </w:rPr>
              <w:t>技术支持部、</w:t>
            </w:r>
            <w:r>
              <w:rPr>
                <w:rFonts w:hint="eastAsia" w:asciiTheme="minorEastAsia" w:hAnsiTheme="minorEastAsia" w:eastAsiaTheme="minorEastAsia" w:cstheme="minorEastAsia"/>
                <w:b w:val="0"/>
                <w:bCs w:val="0"/>
                <w:sz w:val="21"/>
                <w:szCs w:val="21"/>
              </w:rPr>
              <w:t>工程</w:t>
            </w:r>
            <w:r>
              <w:rPr>
                <w:rFonts w:hint="eastAsia" w:asciiTheme="minorEastAsia" w:hAnsiTheme="minorEastAsia" w:eastAsiaTheme="minorEastAsia" w:cstheme="minorEastAsia"/>
                <w:b w:val="0"/>
                <w:bCs w:val="0"/>
                <w:sz w:val="21"/>
                <w:szCs w:val="21"/>
                <w:lang w:val="en-US" w:eastAsia="zh-CN"/>
              </w:rPr>
              <w:t>服务</w:t>
            </w:r>
            <w:r>
              <w:rPr>
                <w:rFonts w:hint="eastAsia" w:asciiTheme="minorEastAsia" w:hAnsiTheme="minorEastAsia" w:eastAsiaTheme="minorEastAsia" w:cstheme="minorEastAsia"/>
                <w:b w:val="0"/>
                <w:bCs w:val="0"/>
                <w:sz w:val="21"/>
                <w:szCs w:val="21"/>
              </w:rPr>
              <w:t>部</w:t>
            </w:r>
            <w:r>
              <w:rPr>
                <w:rFonts w:hint="eastAsia" w:asciiTheme="minorEastAsia" w:hAnsiTheme="minorEastAsia" w:eastAsiaTheme="minorEastAsia" w:cstheme="minorEastAsia"/>
                <w:b w:val="0"/>
                <w:bCs w:val="0"/>
                <w:sz w:val="21"/>
                <w:szCs w:val="21"/>
              </w:rPr>
              <w:tab/>
            </w:r>
          </w:p>
        </w:tc>
        <w:tc>
          <w:tcPr>
            <w:tcW w:w="8241"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宋体" w:hAnsi="宋体"/>
                <w:b/>
                <w:color w:val="000000" w:themeColor="text1"/>
                <w:spacing w:val="-20"/>
                <w:sz w:val="20"/>
                <w:szCs w:val="20"/>
                <w:u w:val="single"/>
              </w:rPr>
            </w:pPr>
            <w:r>
              <w:rPr>
                <w:rFonts w:hint="eastAsia" w:asciiTheme="minorEastAsia" w:hAnsiTheme="minorEastAsia" w:eastAsiaTheme="minorEastAsia" w:cstheme="minorEastAsia"/>
                <w:b w:val="0"/>
                <w:bCs w:val="0"/>
                <w:sz w:val="21"/>
                <w:szCs w:val="21"/>
              </w:rPr>
              <w:t>组织的岗位、职责权限；目标、方案；环境因素/危险源识别评价；基础设施；运行环境；监视和测量资源；运行的策划和控制；</w:t>
            </w:r>
            <w:r>
              <w:rPr>
                <w:rFonts w:hint="eastAsia" w:asciiTheme="minorEastAsia" w:hAnsiTheme="minorEastAsia" w:eastAsiaTheme="minorEastAsia" w:cstheme="minorEastAsia"/>
                <w:b w:val="0"/>
                <w:bCs w:val="0"/>
                <w:sz w:val="21"/>
                <w:szCs w:val="21"/>
                <w:lang w:val="en-US" w:eastAsia="zh-CN"/>
              </w:rPr>
              <w:t>采购；生产和服务控制</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产品和服务的放行；不合格品的控制；</w:t>
            </w:r>
            <w:r>
              <w:rPr>
                <w:rFonts w:hint="eastAsia" w:asciiTheme="minorEastAsia" w:hAnsiTheme="minorEastAsia" w:eastAsiaTheme="minorEastAsia" w:cstheme="minorEastAsia"/>
                <w:b w:val="0"/>
                <w:bCs w:val="0"/>
                <w:sz w:val="21"/>
                <w:szCs w:val="21"/>
              </w:rPr>
              <w:t>运行控制；应急准备和响应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spacing w:line="240" w:lineRule="exact"/>
              <w:jc w:val="left"/>
              <w:rPr>
                <w:rFonts w:ascii="宋体" w:hAnsi="宋体"/>
                <w:b/>
                <w:color w:val="000000" w:themeColor="text1"/>
                <w:szCs w:val="21"/>
              </w:rPr>
            </w:pPr>
            <w:r>
              <w:rPr>
                <w:rFonts w:hint="eastAsia" w:asciiTheme="minorEastAsia" w:hAnsiTheme="minorEastAsia" w:eastAsiaTheme="minorEastAsia" w:cstheme="minorEastAsia"/>
                <w:b w:val="0"/>
                <w:bCs w:val="0"/>
                <w:sz w:val="21"/>
                <w:szCs w:val="21"/>
              </w:rPr>
              <w:t>何坊西路二期(上下梅村)旧改项目 智能化工程项目部</w:t>
            </w:r>
          </w:p>
        </w:tc>
        <w:tc>
          <w:tcPr>
            <w:tcW w:w="8241" w:type="dxa"/>
          </w:tcPr>
          <w:p>
            <w:pPr>
              <w:keepNext w:val="0"/>
              <w:keepLines w:val="0"/>
              <w:pageBreakBefore w:val="0"/>
              <w:widowControl w:val="0"/>
              <w:kinsoku/>
              <w:wordWrap/>
              <w:overflowPunct/>
              <w:topLinePunct w:val="0"/>
              <w:autoSpaceDE/>
              <w:autoSpaceDN/>
              <w:bidi w:val="0"/>
              <w:spacing w:line="260" w:lineRule="exact"/>
              <w:ind w:firstLine="420" w:firstLineChars="200"/>
              <w:jc w:val="both"/>
              <w:textAlignment w:val="auto"/>
              <w:rPr>
                <w:rFonts w:ascii="宋体" w:hAnsi="宋体"/>
                <w:b/>
                <w:color w:val="000000" w:themeColor="text1"/>
                <w:spacing w:val="-20"/>
                <w:szCs w:val="21"/>
                <w:u w:val="single"/>
              </w:rPr>
            </w:pPr>
            <w:r>
              <w:rPr>
                <w:rFonts w:hint="eastAsia" w:asciiTheme="minorEastAsia" w:hAnsiTheme="minorEastAsia" w:eastAsiaTheme="minorEastAsia" w:cstheme="minorEastAsia"/>
                <w:b w:val="0"/>
                <w:bCs w:val="0"/>
                <w:sz w:val="21"/>
                <w:szCs w:val="21"/>
              </w:rPr>
              <w:t>组织的岗位、职责权限；目标、方案；环境因素/危险源识别评价；基础设施；运行环境；监视和测量资源；运行的策划和控制；</w:t>
            </w:r>
            <w:r>
              <w:rPr>
                <w:rFonts w:hint="eastAsia" w:asciiTheme="minorEastAsia" w:hAnsiTheme="minorEastAsia" w:eastAsiaTheme="minorEastAsia" w:cstheme="minorEastAsia"/>
                <w:b w:val="0"/>
                <w:bCs w:val="0"/>
                <w:sz w:val="21"/>
                <w:szCs w:val="21"/>
                <w:lang w:val="en-US" w:eastAsia="zh-CN"/>
              </w:rPr>
              <w:t>采购；生产和服务控制</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产品和服务的放行；不合格品的控制；</w:t>
            </w:r>
            <w:r>
              <w:rPr>
                <w:rFonts w:hint="eastAsia" w:asciiTheme="minorEastAsia" w:hAnsiTheme="minorEastAsia" w:eastAsiaTheme="minorEastAsia" w:cstheme="minorEastAsia"/>
                <w:b w:val="0"/>
                <w:bCs w:val="0"/>
                <w:sz w:val="21"/>
                <w:szCs w:val="21"/>
              </w:rPr>
              <w:t>运行控制；应急准备和响应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center"/>
          </w:tcPr>
          <w:p>
            <w:pPr>
              <w:spacing w:line="300" w:lineRule="exact"/>
              <w:rPr>
                <w:rFonts w:ascii="宋体" w:hAnsi="宋体"/>
                <w:b/>
                <w:color w:val="000000" w:themeColor="text1"/>
                <w:szCs w:val="21"/>
              </w:rPr>
            </w:pPr>
            <w:r>
              <w:rPr>
                <w:rFonts w:hint="eastAsia" w:asciiTheme="minorEastAsia" w:hAnsiTheme="minorEastAsia" w:eastAsiaTheme="minorEastAsia" w:cstheme="minorEastAsia"/>
                <w:b w:val="0"/>
                <w:bCs w:val="0"/>
                <w:sz w:val="21"/>
                <w:szCs w:val="21"/>
              </w:rPr>
              <w:t>财务部</w:t>
            </w:r>
          </w:p>
        </w:tc>
        <w:tc>
          <w:tcPr>
            <w:tcW w:w="8241" w:type="dxa"/>
            <w:vAlign w:val="top"/>
          </w:tcPr>
          <w:p>
            <w:pPr>
              <w:spacing w:line="300" w:lineRule="exact"/>
              <w:jc w:val="left"/>
              <w:rPr>
                <w:rFonts w:ascii="宋体" w:hAnsi="宋体"/>
                <w:b/>
                <w:color w:val="000000" w:themeColor="text1"/>
                <w:spacing w:val="-20"/>
                <w:szCs w:val="21"/>
                <w:u w:val="single"/>
              </w:rPr>
            </w:pPr>
            <w:r>
              <w:rPr>
                <w:rFonts w:hint="eastAsia" w:asciiTheme="minorEastAsia" w:hAnsiTheme="minorEastAsia" w:eastAsiaTheme="minorEastAsia" w:cstheme="minorEastAsia"/>
                <w:b w:val="0"/>
                <w:bCs w:val="0"/>
                <w:sz w:val="21"/>
                <w:szCs w:val="21"/>
                <w:lang w:val="en-US" w:eastAsia="zh-CN"/>
              </w:rPr>
              <w:t>财务资金投入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top"/>
          </w:tcPr>
          <w:p>
            <w:pPr>
              <w:spacing w:line="300" w:lineRule="exact"/>
              <w:rPr>
                <w:rFonts w:ascii="宋体" w:hAnsi="宋体"/>
                <w:b/>
                <w:color w:val="000000" w:themeColor="text1"/>
                <w:szCs w:val="21"/>
              </w:rPr>
            </w:pPr>
            <w:r>
              <w:rPr>
                <w:rFonts w:hint="eastAsia" w:asciiTheme="minorEastAsia" w:hAnsiTheme="minorEastAsia" w:eastAsiaTheme="minorEastAsia" w:cstheme="minorEastAsia"/>
                <w:b w:val="0"/>
                <w:bCs w:val="0"/>
                <w:sz w:val="21"/>
                <w:szCs w:val="21"/>
                <w:lang w:val="en-US" w:eastAsia="zh-CN"/>
              </w:rPr>
              <w:t>员工代表</w:t>
            </w:r>
          </w:p>
        </w:tc>
        <w:tc>
          <w:tcPr>
            <w:tcW w:w="8241" w:type="dxa"/>
            <w:vAlign w:val="top"/>
          </w:tcPr>
          <w:p>
            <w:pPr>
              <w:spacing w:line="300" w:lineRule="exact"/>
              <w:rPr>
                <w:rFonts w:ascii="宋体" w:hAnsi="宋体"/>
                <w:b/>
                <w:color w:val="000000" w:themeColor="text1"/>
                <w:spacing w:val="-20"/>
                <w:szCs w:val="21"/>
                <w:u w:val="single"/>
              </w:rPr>
            </w:pPr>
            <w:r>
              <w:rPr>
                <w:rFonts w:hint="eastAsia" w:asciiTheme="minorEastAsia" w:hAnsiTheme="minorEastAsia" w:eastAsiaTheme="minorEastAsia" w:cstheme="minorEastAsia"/>
                <w:b w:val="0"/>
                <w:bCs w:val="0"/>
                <w:sz w:val="21"/>
                <w:szCs w:val="21"/>
                <w:lang w:val="en-US" w:eastAsia="zh-CN"/>
              </w:rPr>
              <w:t>员工代表参与</w:t>
            </w:r>
          </w:p>
        </w:tc>
      </w:tr>
    </w:tbl>
    <w:p>
      <w:pPr>
        <w:numPr>
          <w:ilvl w:val="0"/>
          <w:numId w:val="2"/>
        </w:numPr>
        <w:ind w:left="-137" w:leftChars="-337" w:hanging="571" w:hangingChars="271"/>
        <w:rPr>
          <w:rFonts w:hint="eastAsia" w:ascii="宋体" w:hAnsi="宋体"/>
          <w:b/>
          <w:color w:val="000000" w:themeColor="text1"/>
          <w:szCs w:val="21"/>
        </w:rPr>
      </w:pPr>
      <w:r>
        <w:rPr>
          <w:rFonts w:hint="eastAsia" w:ascii="宋体" w:hAnsi="宋体"/>
          <w:b/>
          <w:color w:val="000000" w:themeColor="text1"/>
          <w:szCs w:val="21"/>
        </w:rPr>
        <w:t>已审核的分场所（分中心、分部或不在一起的部门）、临时/流动场所信息</w:t>
      </w:r>
    </w:p>
    <w:p>
      <w:pPr>
        <w:pStyle w:val="2"/>
        <w:rPr>
          <w:rFonts w:hint="eastAsia" w:ascii="宋体" w:hAnsi="宋体"/>
          <w:b/>
          <w:color w:val="000000" w:themeColor="text1"/>
          <w:szCs w:val="21"/>
        </w:rPr>
      </w:pPr>
      <w:r>
        <w:drawing>
          <wp:inline distT="0" distB="0" distL="114300" distR="114300">
            <wp:extent cx="5271135" cy="1233805"/>
            <wp:effectExtent l="0" t="0" r="571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71135" cy="1233805"/>
                    </a:xfrm>
                    <a:prstGeom prst="rect">
                      <a:avLst/>
                    </a:prstGeom>
                    <a:noFill/>
                    <a:ln>
                      <a:noFill/>
                    </a:ln>
                  </pic:spPr>
                </pic:pic>
              </a:graphicData>
            </a:graphic>
          </wp:inline>
        </w:drawing>
      </w:r>
    </w:p>
    <w:p>
      <w:pPr>
        <w:pStyle w:val="2"/>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1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7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64"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783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trPr>
        <w:tc>
          <w:tcPr>
            <w:tcW w:w="2364"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EC：建筑智能化工程的施工（仅限资质范围内）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E：建筑智能化工程的施工（仅限资质范围内）及其场所所涉及的环境管理活动</w:t>
            </w:r>
          </w:p>
          <w:p>
            <w:pPr>
              <w:rPr>
                <w:b/>
                <w:color w:val="000000" w:themeColor="text1"/>
                <w:sz w:val="20"/>
                <w:szCs w:val="20"/>
              </w:rPr>
            </w:pPr>
            <w:r>
              <w:rPr>
                <w:rFonts w:hint="eastAsia" w:asciiTheme="minorEastAsia" w:hAnsiTheme="minorEastAsia" w:eastAsiaTheme="minorEastAsia" w:cstheme="minorEastAsia"/>
                <w:sz w:val="21"/>
                <w:szCs w:val="21"/>
              </w:rPr>
              <w:t>O：建筑智能化工程的施工（仅限资质范围内）及其场所所涉及的职业健康安全管理活动</w:t>
            </w:r>
          </w:p>
        </w:tc>
        <w:tc>
          <w:tcPr>
            <w:tcW w:w="7835" w:type="dxa"/>
          </w:tcPr>
          <w:p>
            <w:pPr>
              <w:rPr>
                <w:rFonts w:hint="eastAsia"/>
              </w:rPr>
            </w:pPr>
            <w:r>
              <w:rPr>
                <w:rFonts w:hint="eastAsia"/>
              </w:rPr>
              <w:t>计算机网络标准TIA/EIA-568B</w:t>
            </w:r>
          </w:p>
          <w:p>
            <w:pPr>
              <w:rPr>
                <w:rFonts w:hint="eastAsia"/>
              </w:rPr>
            </w:pPr>
            <w:r>
              <w:rPr>
                <w:rFonts w:hint="eastAsia"/>
              </w:rPr>
              <w:t>CECS 89:97建筑与建筑综合布线系统工程施工和验收规范</w:t>
            </w:r>
          </w:p>
          <w:p>
            <w:pPr>
              <w:rPr>
                <w:rFonts w:hint="eastAsia"/>
              </w:rPr>
            </w:pPr>
            <w:r>
              <w:rPr>
                <w:rFonts w:hint="eastAsia"/>
              </w:rPr>
              <w:t>智能建筑设计标准GB/T 50314-2000</w:t>
            </w:r>
          </w:p>
          <w:p>
            <w:pPr>
              <w:rPr>
                <w:rFonts w:hint="eastAsia"/>
              </w:rPr>
            </w:pPr>
            <w:r>
              <w:rPr>
                <w:rFonts w:hint="eastAsia"/>
              </w:rPr>
              <w:t>计算机机房设计规范GB 50174-93</w:t>
            </w:r>
          </w:p>
          <w:p>
            <w:pPr>
              <w:rPr>
                <w:rFonts w:hint="eastAsia"/>
              </w:rPr>
            </w:pPr>
            <w:r>
              <w:rPr>
                <w:rFonts w:hint="eastAsia"/>
              </w:rPr>
              <w:t>建筑设计防火规范GB J16-87</w:t>
            </w:r>
          </w:p>
          <w:p>
            <w:pPr>
              <w:rPr>
                <w:rFonts w:hint="eastAsia"/>
              </w:rPr>
            </w:pPr>
            <w:r>
              <w:rPr>
                <w:rFonts w:hint="eastAsia"/>
              </w:rPr>
              <w:t>民用建筑电气设计规范JGJ/T 16-92</w:t>
            </w:r>
          </w:p>
          <w:p>
            <w:pPr>
              <w:rPr>
                <w:rFonts w:hint="eastAsia"/>
              </w:rPr>
            </w:pPr>
            <w:r>
              <w:rPr>
                <w:rFonts w:hint="eastAsia"/>
              </w:rPr>
              <w:t>建筑与建筑群综合布线系统工程设计规范CECS 72:97</w:t>
            </w:r>
          </w:p>
          <w:p>
            <w:pPr>
              <w:rPr>
                <w:rFonts w:hint="eastAsia"/>
              </w:rPr>
            </w:pPr>
            <w:r>
              <w:rPr>
                <w:rFonts w:hint="eastAsia"/>
              </w:rPr>
              <w:t>建筑与建筑群综合布线系统工程施工及验收规范CECS8997</w:t>
            </w:r>
          </w:p>
          <w:p>
            <w:pPr>
              <w:rPr>
                <w:rFonts w:hint="eastAsia"/>
              </w:rPr>
            </w:pPr>
            <w:r>
              <w:rPr>
                <w:rFonts w:hint="eastAsia"/>
              </w:rPr>
              <w:t>安全防范工程程序与要求GA/T75-94</w:t>
            </w:r>
          </w:p>
          <w:p>
            <w:pPr>
              <w:rPr>
                <w:rFonts w:hint="eastAsia"/>
              </w:rPr>
            </w:pPr>
            <w:r>
              <w:rPr>
                <w:rFonts w:hint="eastAsia"/>
              </w:rPr>
              <w:t>金属线槽配线安装工艺标准313-1998</w:t>
            </w:r>
          </w:p>
          <w:p>
            <w:pPr>
              <w:rPr>
                <w:rFonts w:hint="eastAsia"/>
              </w:rPr>
            </w:pPr>
            <w:r>
              <w:rPr>
                <w:rFonts w:hint="eastAsia"/>
              </w:rPr>
              <w:t>建筑与建筑群综合布线系统工程施工及验收规范CECS 89:97</w:t>
            </w:r>
          </w:p>
          <w:p>
            <w:pPr>
              <w:rPr>
                <w:rFonts w:hint="eastAsia"/>
              </w:rPr>
            </w:pPr>
            <w:r>
              <w:rPr>
                <w:rFonts w:hint="eastAsia"/>
              </w:rPr>
              <w:t>中国工程建筑标准化协会的《建筑与建筑群综合布线系统工程施工规范》</w:t>
            </w:r>
          </w:p>
          <w:p>
            <w:pPr>
              <w:rPr>
                <w:b/>
                <w:color w:val="000000" w:themeColor="text1"/>
                <w:sz w:val="20"/>
                <w:szCs w:val="20"/>
              </w:rPr>
            </w:pPr>
            <w:r>
              <w:rPr>
                <w:rFonts w:hint="eastAsia"/>
              </w:rPr>
              <w:t>依据验收交付规范、合同、相关标准、用户要求等进行接收。</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2019-06-01</w:t>
      </w:r>
      <w:r>
        <w:rPr>
          <w:rFonts w:hint="eastAsia"/>
          <w:b/>
          <w:color w:val="000000" w:themeColor="text1"/>
          <w:spacing w:val="-10"/>
          <w:szCs w:val="21"/>
        </w:rPr>
        <w:t>至</w:t>
      </w:r>
      <w:r>
        <w:rPr>
          <w:rFonts w:hint="eastAsia"/>
          <w:b/>
          <w:color w:val="000000" w:themeColor="text1"/>
          <w:spacing w:val="-10"/>
          <w:szCs w:val="21"/>
          <w:lang w:val="en-US" w:eastAsia="zh-CN"/>
        </w:rPr>
        <w:t>2020年10月24日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line="320" w:lineRule="exact"/>
              <w:rPr>
                <w:rFonts w:hint="eastAsia" w:ascii="Times New Roman" w:hAnsi="Times New Roman" w:eastAsia="宋体"/>
                <w:lang w:eastAsia="zh-CN"/>
              </w:rPr>
            </w:pPr>
            <w:r>
              <w:rPr>
                <w:rFonts w:hint="eastAsia" w:ascii="Times New Roman" w:hAnsi="Times New Roman"/>
              </w:rPr>
              <w:t>江西盛通网络有限公司</w:t>
            </w:r>
            <w:r>
              <w:rPr>
                <w:rFonts w:ascii="Times New Roman" w:hAnsi="Times New Roman"/>
              </w:rPr>
              <w:t>，成立于20</w:t>
            </w:r>
            <w:r>
              <w:rPr>
                <w:rFonts w:hint="eastAsia" w:ascii="Times New Roman" w:hAnsi="Times New Roman"/>
              </w:rPr>
              <w:t>06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日，注册资金</w:t>
            </w:r>
            <w:r>
              <w:rPr>
                <w:rFonts w:hint="eastAsia" w:ascii="Times New Roman" w:hAnsi="Times New Roman"/>
              </w:rPr>
              <w:t>2100</w:t>
            </w:r>
            <w:r>
              <w:rPr>
                <w:rFonts w:ascii="Times New Roman" w:hAnsi="Times New Roman"/>
              </w:rPr>
              <w:t>万元</w:t>
            </w:r>
            <w:r>
              <w:rPr>
                <w:rFonts w:hint="eastAsia"/>
              </w:rPr>
              <w:t>，注册地址：江西省南昌市青山湖区京东大道300号水榭尚都A1栋610室，</w:t>
            </w:r>
            <w:r>
              <w:rPr>
                <w:rFonts w:ascii="Times New Roman" w:hAnsi="Times New Roman"/>
              </w:rPr>
              <w:t>主要从事</w:t>
            </w:r>
            <w:r>
              <w:rPr>
                <w:rFonts w:hint="eastAsia" w:ascii="Times New Roman" w:hAnsi="Times New Roman"/>
              </w:rPr>
              <w:t>资质等级范围内的建筑智能化工程的施工</w:t>
            </w:r>
            <w:r>
              <w:rPr>
                <w:rFonts w:ascii="Times New Roman" w:hAnsi="Times New Roman"/>
              </w:rPr>
              <w:t>等业务</w:t>
            </w:r>
            <w:r>
              <w:rPr>
                <w:rFonts w:hint="eastAsia" w:ascii="Times New Roman" w:hAnsi="Times New Roman"/>
                <w:lang w:eastAsia="zh-CN"/>
              </w:rPr>
              <w:t>。</w:t>
            </w:r>
          </w:p>
          <w:p>
            <w:pPr>
              <w:spacing w:line="320" w:lineRule="exact"/>
              <w:rPr>
                <w:rFonts w:hint="eastAsia" w:ascii="Times New Roman" w:hAnsi="Times New Roman"/>
                <w:lang w:val="zh-CN"/>
              </w:rPr>
            </w:pPr>
            <w:r>
              <w:rPr>
                <w:rFonts w:ascii="Times New Roman" w:hAnsi="Times New Roman"/>
                <w:lang w:val="zh-CN"/>
              </w:rPr>
              <w:t>总经理介绍目前对公司影响较大的是自去年</w:t>
            </w:r>
            <w:r>
              <w:rPr>
                <w:rFonts w:ascii="Times New Roman" w:hAnsi="Times New Roman"/>
              </w:rPr>
              <w:t>12月份以来新冠肺炎疫情在全国乃至全球的流行各行各业都受到很大的冲击，今年春节过后相应国家政策实行全面停产停工，自今年三月上旬以后才陆续进行了复工，但目前外地人员（主要是劳务人员）还未全员到位，人员匮乏；考虑到疫情影响的今年</w:t>
            </w:r>
            <w:r>
              <w:rPr>
                <w:rFonts w:ascii="Times New Roman" w:hAnsi="Times New Roman"/>
                <w:lang w:val="zh-CN"/>
              </w:rPr>
              <w:t>国内经济政策环境，可能会工程回款比较慢；同行竞争加剧；原材料、人力成本增加，行业利润会的少、环保监察力度增大在环境和安全方面投入增大等。</w:t>
            </w:r>
          </w:p>
          <w:p>
            <w:pPr>
              <w:spacing w:line="320" w:lineRule="exact"/>
              <w:rPr>
                <w:rFonts w:ascii="Times New Roman" w:hAnsi="Times New Roman"/>
                <w:lang w:val="zh-CN"/>
              </w:rPr>
            </w:pPr>
            <w:r>
              <w:rPr>
                <w:rFonts w:hint="eastAsia" w:ascii="Times New Roman" w:hAnsi="Times New Roman"/>
                <w:lang w:val="zh-CN"/>
              </w:rPr>
              <w:t xml:space="preserve">另外施工特点为点多、面散，环境、安全问题突出，也是公司施工的风险点，因此全体员工秉承：诚实守信、环境保护、安全第一的管理理念。   </w:t>
            </w:r>
          </w:p>
          <w:p>
            <w:pPr>
              <w:pStyle w:val="2"/>
            </w:pPr>
            <w:r>
              <w:rPr>
                <w:rFonts w:ascii="Times New Roman" w:hAnsi="Times New Roman"/>
                <w:lang w:val="zh-CN"/>
              </w:rPr>
              <w:t>应对措施，努力将现有的工程打造成样板工程，提升口碑，以稳定并扩大</w:t>
            </w:r>
            <w:r>
              <w:rPr>
                <w:rFonts w:hint="eastAsia" w:ascii="Times New Roman" w:hAnsi="Times New Roman"/>
              </w:rPr>
              <w:t>相关</w:t>
            </w:r>
            <w:r>
              <w:rPr>
                <w:rFonts w:ascii="Times New Roman" w:hAnsi="Times New Roman"/>
                <w:lang w:val="zh-CN"/>
              </w:rPr>
              <w:t>业务，通过培训增强公司标书的编写能力，增加在投标过程中的中标概率,积极组织公司员工进行专业培训，提升员工职业技能，提高工作效率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rPr>
            </w:pPr>
            <w:r>
              <w:rPr>
                <w:rFonts w:hint="eastAsia"/>
              </w:rPr>
              <w:t>相关方需求和期望识别情况</w:t>
            </w:r>
          </w:p>
          <w:p>
            <w:pPr>
              <w:spacing w:line="320" w:lineRule="exact"/>
              <w:rPr>
                <w:rFonts w:hint="eastAsia" w:ascii="Times New Roman" w:hAnsi="Times New Roman"/>
                <w:lang w:val="zh-CN"/>
              </w:rPr>
            </w:pPr>
            <w:r>
              <w:rPr>
                <w:rFonts w:ascii="Times New Roman" w:hAnsi="Times New Roman"/>
                <w:lang w:val="zh-CN"/>
              </w:rPr>
              <w:t>总经理介绍目前对公司影响较大的是自去年</w:t>
            </w:r>
            <w:r>
              <w:rPr>
                <w:rFonts w:ascii="Times New Roman" w:hAnsi="Times New Roman"/>
              </w:rPr>
              <w:t>12月份以来新冠肺炎疫情在全国乃至全球的流行各行各业都受到很大的冲击，今年春节过后相应国家政策实行全面停产停工，自今年三月上旬以后才陆续进行了复工，但目前外地人员（主要是劳务人员）还未全员到位，人员匮乏；考虑到疫情影响的今年</w:t>
            </w:r>
            <w:r>
              <w:rPr>
                <w:rFonts w:ascii="Times New Roman" w:hAnsi="Times New Roman"/>
                <w:lang w:val="zh-CN"/>
              </w:rPr>
              <w:t>国内经济政策环境，可能会工程回款比较慢；同行竞争加剧；原材料、人力成本增加，行业利润会的少、环保监察力度增大在环境和安全方面投入增大等。</w:t>
            </w:r>
          </w:p>
          <w:p>
            <w:pPr>
              <w:spacing w:line="320" w:lineRule="exact"/>
              <w:rPr>
                <w:rFonts w:ascii="Times New Roman" w:hAnsi="Times New Roman"/>
                <w:lang w:val="zh-CN"/>
              </w:rPr>
            </w:pPr>
            <w:r>
              <w:rPr>
                <w:rFonts w:hint="eastAsia" w:ascii="Times New Roman" w:hAnsi="Times New Roman"/>
                <w:lang w:val="zh-CN"/>
              </w:rPr>
              <w:t xml:space="preserve">另外施工特点为点多、面散，环境、安全问题突出，也是公司施工的风险点，因此全体员工秉承：诚实守信、环境保护、安全第一的管理理念。   </w:t>
            </w:r>
          </w:p>
          <w:p>
            <w:pPr>
              <w:pStyle w:val="2"/>
              <w:numPr>
                <w:ilvl w:val="0"/>
                <w:numId w:val="0"/>
              </w:numPr>
            </w:pPr>
            <w:r>
              <w:rPr>
                <w:rFonts w:ascii="Times New Roman" w:hAnsi="Times New Roman"/>
                <w:lang w:val="zh-CN"/>
              </w:rPr>
              <w:t>应对措施，努力将现有的工程打造成样板工程，提升口碑，以稳定并扩大</w:t>
            </w:r>
            <w:r>
              <w:rPr>
                <w:rFonts w:hint="eastAsia" w:ascii="Times New Roman" w:hAnsi="Times New Roman"/>
              </w:rPr>
              <w:t>相关</w:t>
            </w:r>
            <w:r>
              <w:rPr>
                <w:rFonts w:ascii="Times New Roman" w:hAnsi="Times New Roman"/>
                <w:lang w:val="zh-CN"/>
              </w:rPr>
              <w:t>业务，通过培训增强公司标书的编写能力，增加在投标过程中的中标概率,积极组织公司员工进行专业培训，提升员工职业技能，提高工作效率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rPr>
                <w:rFonts w:hint="eastAsia" w:ascii="Times New Roman" w:hAnsi="Times New Roman"/>
              </w:rPr>
            </w:pPr>
            <w:r>
              <w:rPr>
                <w:rFonts w:ascii="Times New Roman" w:hAnsi="Times New Roman"/>
              </w:rPr>
              <w:t>管理方针：</w:t>
            </w:r>
            <w:r>
              <w:rPr>
                <w:rFonts w:hint="eastAsia" w:ascii="Times New Roman" w:hAnsi="Times New Roman" w:cs="宋体"/>
                <w:szCs w:val="22"/>
              </w:rPr>
              <w:t>全员参与、规范管理、精心施工、创建品牌、减少污染、控制噪声、安全第一、 以人为本、持续改进、创新发展、遵纪守法、心系顾客、控制过程、服务业主。.</w:t>
            </w:r>
          </w:p>
          <w:p>
            <w:pPr>
              <w:spacing w:line="320" w:lineRule="exact"/>
              <w:ind w:firstLine="210" w:firstLineChars="100"/>
              <w:rPr>
                <w:rFonts w:ascii="Times New Roman" w:hAnsi="Times New Roman"/>
              </w:rPr>
            </w:pPr>
            <w:r>
              <w:rPr>
                <w:rFonts w:ascii="Times New Roman" w:hAnsi="Times New Roman"/>
              </w:rPr>
              <w:t>管理方针与企业的经营宗旨相适应，协调；</w:t>
            </w:r>
          </w:p>
          <w:p>
            <w:pPr>
              <w:spacing w:line="240" w:lineRule="exact"/>
              <w:ind w:left="199" w:leftChars="95"/>
              <w:rPr>
                <w:b/>
                <w:color w:val="000000" w:themeColor="text1"/>
              </w:rPr>
            </w:pPr>
            <w:r>
              <w:rPr>
                <w:rFonts w:ascii="Times New Roman" w:hAnsi="Times New Roman"/>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ind w:left="0" w:leftChars="0" w:firstLine="0" w:firstLineChars="0"/>
              <w:rPr>
                <w:rFonts w:hint="eastAsia"/>
              </w:rPr>
            </w:pPr>
            <w:r>
              <w:rPr>
                <w:rFonts w:hint="eastAsia"/>
              </w:rPr>
              <w:t>风险识别与控制策划（QMS）</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p>
            <w:pPr>
              <w:pStyle w:val="2"/>
              <w:numPr>
                <w:ilvl w:val="0"/>
                <w:numId w:val="0"/>
              </w:numPr>
              <w:ind w:leftChars="0"/>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识别了</w:t>
            </w:r>
            <w:r>
              <w:rPr>
                <w:rFonts w:hint="eastAsia" w:asciiTheme="minorEastAsia" w:hAnsiTheme="minorEastAsia" w:eastAsiaTheme="minorEastAsia" w:cstheme="minorEastAsia"/>
                <w:sz w:val="21"/>
                <w:szCs w:val="21"/>
              </w:rPr>
              <w:t>存在的风险和机遇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应对这些风险，公司依据IS0 9001:2015《质量管理体系要求》，IS01400l:2015《环境管理体系要求及使用指南》；</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《职业健康安全管理体系要求》、GB/T50430-2017《工程建设施工企业质量管理规范》编制了《管理手册》、《程序文件》及《管理制度》。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w:t>
            </w:r>
            <w:r>
              <w:t>QMS</w:t>
            </w:r>
            <w:r>
              <w:rPr>
                <w:rFonts w:hint="eastAsia"/>
              </w:rPr>
              <w:t>过程</w:t>
            </w:r>
          </w:p>
          <w:p>
            <w:pPr>
              <w:tabs>
                <w:tab w:val="left" w:pos="540"/>
              </w:tabs>
              <w:spacing w:line="300" w:lineRule="exact"/>
              <w:ind w:left="201" w:hanging="210" w:hangingChars="100"/>
            </w:pPr>
            <w:r>
              <w:rPr>
                <w:rFonts w:hint="eastAsia"/>
              </w:rPr>
              <w:t>质量管理体系过程有：</w:t>
            </w:r>
          </w:p>
          <w:p>
            <w:pPr>
              <w:spacing w:line="400" w:lineRule="exact"/>
              <w:ind w:firstLine="420" w:firstLineChars="200"/>
              <w:rPr>
                <w:rFonts w:hint="eastAsia"/>
                <w:lang w:eastAsia="zh-CN"/>
              </w:rPr>
            </w:pPr>
            <w:r>
              <w:rPr>
                <w:rFonts w:hint="eastAsia"/>
                <w:lang w:eastAsia="zh-CN"/>
              </w:rPr>
              <w:t>设备线材、管材等采购</w:t>
            </w:r>
            <w:r>
              <w:rPr>
                <w:rFonts w:hint="default"/>
                <w:lang w:eastAsia="zh-CN"/>
              </w:rPr>
              <w:t>→</w:t>
            </w:r>
            <w:r>
              <w:rPr>
                <w:rFonts w:hint="eastAsia"/>
              </w:rPr>
              <w:t>线缆</w:t>
            </w:r>
            <w:r>
              <w:rPr>
                <w:rFonts w:hint="eastAsia"/>
                <w:lang w:val="en-US" w:eastAsia="zh-CN"/>
              </w:rPr>
              <w:t>铺设</w:t>
            </w:r>
            <w:r>
              <w:rPr>
                <w:rFonts w:hint="default"/>
                <w:lang w:eastAsia="zh-CN"/>
              </w:rPr>
              <w:t>→</w:t>
            </w:r>
            <w:r>
              <w:rPr>
                <w:rFonts w:hint="eastAsia"/>
              </w:rPr>
              <w:t>智能设备安装</w:t>
            </w:r>
            <w:r>
              <w:rPr>
                <w:rFonts w:hint="default"/>
                <w:lang w:eastAsia="zh-CN"/>
              </w:rPr>
              <w:t>→</w:t>
            </w:r>
            <w:r>
              <w:rPr>
                <w:rFonts w:hint="eastAsia"/>
              </w:rPr>
              <w:t>调试</w:t>
            </w:r>
            <w:r>
              <w:rPr>
                <w:rFonts w:hint="default"/>
                <w:lang w:eastAsia="zh-CN"/>
              </w:rPr>
              <w:t>→</w:t>
            </w:r>
            <w:r>
              <w:rPr>
                <w:rFonts w:hint="eastAsia"/>
                <w:lang w:val="en-US" w:eastAsia="zh-CN"/>
              </w:rPr>
              <w:t>验收</w:t>
            </w:r>
          </w:p>
          <w:p>
            <w:pPr>
              <w:spacing w:line="360" w:lineRule="auto"/>
              <w:ind w:firstLine="420" w:firstLineChars="200"/>
              <w:jc w:val="left"/>
              <w:rPr>
                <w:rFonts w:hint="eastAsia"/>
                <w:lang w:val="en-US" w:eastAsia="zh-CN"/>
              </w:rPr>
            </w:pPr>
            <w:r>
              <w:rPr>
                <w:rFonts w:hint="eastAsia"/>
                <w:lang w:val="en-US" w:eastAsia="zh-CN"/>
              </w:rPr>
              <w:t>关键过程：调试</w:t>
            </w:r>
          </w:p>
          <w:p>
            <w:pPr>
              <w:spacing w:line="360" w:lineRule="auto"/>
              <w:ind w:firstLine="420" w:firstLineChars="200"/>
              <w:jc w:val="left"/>
            </w:pPr>
            <w:r>
              <w:rPr>
                <w:rFonts w:hint="eastAsia"/>
              </w:rPr>
              <w:t>隐蔽工程</w:t>
            </w:r>
            <w:r>
              <w:rPr>
                <w:rFonts w:hint="eastAsia"/>
                <w:lang w:eastAsia="zh-CN"/>
              </w:rPr>
              <w:t>：</w:t>
            </w:r>
            <w:r>
              <w:rPr>
                <w:rFonts w:hint="eastAsia"/>
                <w:lang w:val="en-US" w:eastAsia="zh-CN"/>
              </w:rPr>
              <w:t>线缆预留、铺设</w:t>
            </w:r>
          </w:p>
          <w:p>
            <w:pPr>
              <w:pStyle w:val="2"/>
              <w:ind w:firstLine="46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管控措施：见</w:t>
            </w:r>
            <w:r>
              <w:rPr>
                <w:rFonts w:hint="eastAsia" w:asciiTheme="minorEastAsia" w:hAnsiTheme="minorEastAsia" w:eastAsiaTheme="minorEastAsia" w:cstheme="minorEastAsia"/>
                <w:szCs w:val="22"/>
              </w:rPr>
              <w:t>施工方案、技术措施</w:t>
            </w:r>
            <w:r>
              <w:rPr>
                <w:rFonts w:hint="eastAsia" w:asciiTheme="minorEastAsia" w:hAnsiTheme="minorEastAsia" w:eastAsiaTheme="minorEastAsia" w:cstheme="minorEastAsia"/>
                <w:szCs w:val="22"/>
                <w:lang w:eastAsia="zh-CN"/>
              </w:rPr>
              <w:t>、</w:t>
            </w:r>
            <w:r>
              <w:rPr>
                <w:rFonts w:hint="eastAsia" w:asciiTheme="minorEastAsia" w:hAnsiTheme="minorEastAsia" w:eastAsiaTheme="minorEastAsia" w:cstheme="minorEastAsia"/>
                <w:szCs w:val="22"/>
                <w:lang w:val="en-US" w:eastAsia="zh-CN"/>
              </w:rPr>
              <w:t>监理见证</w:t>
            </w:r>
          </w:p>
          <w:p>
            <w:pPr>
              <w:pStyle w:val="2"/>
              <w:ind w:firstLine="460" w:firstLineChars="200"/>
              <w:rPr>
                <w:rFonts w:hint="eastAsia"/>
                <w:color w:val="auto"/>
                <w:lang w:val="en-US" w:eastAsia="zh-CN"/>
              </w:rPr>
            </w:pPr>
            <w:bookmarkStart w:id="19" w:name="_GoBack"/>
            <w:bookmarkEnd w:id="19"/>
            <w:r>
              <w:rPr>
                <w:rFonts w:hint="eastAsia"/>
                <w:color w:val="auto"/>
                <w:lang w:val="en-US" w:eastAsia="zh-CN"/>
              </w:rPr>
              <w:t>Q8.3 J10.3设计删减确认:</w:t>
            </w:r>
          </w:p>
          <w:p>
            <w:pPr>
              <w:pStyle w:val="2"/>
              <w:rPr>
                <w:rFonts w:hint="eastAsia" w:ascii="宋体" w:hAnsi="宋体"/>
                <w:b/>
                <w:color w:val="000000" w:themeColor="text1"/>
                <w:sz w:val="20"/>
                <w:szCs w:val="20"/>
              </w:rPr>
            </w:pPr>
            <w:r>
              <w:rPr>
                <w:rFonts w:hint="eastAsia" w:ascii="宋体" w:hAnsi="宋体" w:eastAsia="宋体" w:cs="宋体"/>
                <w:color w:val="auto"/>
                <w:sz w:val="21"/>
                <w:szCs w:val="21"/>
              </w:rPr>
              <w:t>质量手册有阐明范围，不适用条款识别，不适用条款为8.3，</w:t>
            </w:r>
            <w:r>
              <w:rPr>
                <w:rFonts w:hint="eastAsia" w:ascii="宋体" w:hAnsi="宋体" w:eastAsia="宋体" w:cs="宋体"/>
                <w:bCs/>
                <w:color w:val="auto"/>
                <w:sz w:val="21"/>
                <w:szCs w:val="21"/>
              </w:rPr>
              <w:t>说明:</w:t>
            </w:r>
            <w:r>
              <w:rPr>
                <w:rFonts w:hint="eastAsia" w:ascii="宋体" w:hAnsi="宋体" w:eastAsia="宋体" w:cs="宋体"/>
                <w:color w:val="auto"/>
                <w:sz w:val="21"/>
                <w:szCs w:val="21"/>
              </w:rPr>
              <w:t>公司所承建的工程项目，工程设计阶段均是由建设单位委托设计单位承担，所以本手册对GB/T19001-2016标准8.3条款和GB/T50430-2017规范10.3条款的要求予以删减。该删减既不影响公司提供满足行业标准和客户要求的工程项目，也不减少公司满足法律和法规要求的责任（在建筑施工前有对图纸进行会审及建筑施工过程中提出设计更改的权利与义务）</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2"/>
              <w:rPr>
                <w:rFonts w:hint="eastAsia" w:ascii="宋体" w:hAnsi="宋体" w:eastAsia="宋体" w:cs="宋体"/>
                <w:color w:val="auto"/>
                <w:sz w:val="21"/>
                <w:szCs w:val="21"/>
              </w:rPr>
            </w:pPr>
            <w:r>
              <w:rPr>
                <w:rFonts w:ascii="Times New Roman" w:hAnsi="Times New Roman"/>
              </w:rPr>
              <w:t>公</w:t>
            </w:r>
            <w:r>
              <w:rPr>
                <w:rFonts w:hint="eastAsia" w:ascii="宋体" w:hAnsi="宋体" w:eastAsia="宋体" w:cs="宋体"/>
                <w:color w:val="auto"/>
                <w:sz w:val="21"/>
                <w:szCs w:val="21"/>
              </w:rPr>
              <w:t>司的《</w:t>
            </w:r>
            <w:r>
              <w:rPr>
                <w:rFonts w:hint="eastAsia" w:ascii="宋体" w:hAnsi="宋体" w:eastAsia="宋体" w:cs="宋体"/>
                <w:color w:val="auto"/>
                <w:sz w:val="21"/>
                <w:szCs w:val="21"/>
                <w:lang w:val="en-US" w:eastAsia="zh-CN"/>
              </w:rPr>
              <w:t>环境因素</w:t>
            </w:r>
            <w:r>
              <w:rPr>
                <w:rFonts w:hint="eastAsia" w:ascii="宋体" w:hAnsi="宋体" w:eastAsia="宋体" w:cs="宋体"/>
                <w:color w:val="auto"/>
                <w:sz w:val="21"/>
                <w:szCs w:val="21"/>
              </w:rPr>
              <w:t>与评价管理程序》，规定了</w:t>
            </w:r>
            <w:r>
              <w:rPr>
                <w:rFonts w:hint="eastAsia" w:ascii="宋体" w:hAnsi="宋体" w:eastAsia="宋体" w:cs="宋体"/>
                <w:color w:val="auto"/>
                <w:sz w:val="21"/>
                <w:szCs w:val="21"/>
                <w:lang w:val="en-US" w:eastAsia="zh-CN"/>
              </w:rPr>
              <w:t>环境因素</w:t>
            </w:r>
            <w:r>
              <w:rPr>
                <w:rFonts w:hint="eastAsia" w:ascii="宋体" w:hAnsi="宋体" w:eastAsia="宋体" w:cs="宋体"/>
                <w:color w:val="auto"/>
                <w:sz w:val="21"/>
                <w:szCs w:val="21"/>
              </w:rPr>
              <w:t>识别方法、评价准则和控制方法。</w:t>
            </w:r>
          </w:p>
          <w:p>
            <w:pPr>
              <w:pStyle w:val="2"/>
              <w:rPr>
                <w:b/>
                <w:color w:val="000000" w:themeColor="text1"/>
                <w:sz w:val="20"/>
                <w:szCs w:val="20"/>
              </w:rPr>
            </w:pPr>
            <w:r>
              <w:rPr>
                <w:rFonts w:hint="eastAsia" w:ascii="宋体" w:hAnsi="宋体" w:eastAsia="宋体" w:cs="宋体"/>
                <w:color w:val="auto"/>
                <w:sz w:val="21"/>
                <w:szCs w:val="21"/>
              </w:rPr>
              <w:t>由综合服务部组织进行了危险源识别评价，</w:t>
            </w:r>
            <w:r>
              <w:rPr>
                <w:rFonts w:hint="eastAsia" w:ascii="宋体" w:hAnsi="宋体" w:eastAsia="宋体" w:cs="宋体"/>
                <w:color w:val="auto"/>
                <w:sz w:val="21"/>
                <w:szCs w:val="21"/>
                <w:lang w:val="en-US" w:eastAsia="zh-CN"/>
              </w:rPr>
              <w:t>重要环境因素</w:t>
            </w:r>
            <w:r>
              <w:rPr>
                <w:rFonts w:hint="eastAsia" w:ascii="宋体" w:hAnsi="宋体" w:eastAsia="宋体" w:cs="宋体"/>
                <w:color w:val="auto"/>
                <w:sz w:val="21"/>
                <w:szCs w:val="21"/>
              </w:rPr>
              <w:t>：火灾事故的发生、</w:t>
            </w:r>
            <w:r>
              <w:rPr>
                <w:rFonts w:hint="eastAsia" w:ascii="宋体" w:hAnsi="宋体" w:eastAsia="宋体" w:cs="宋体"/>
                <w:color w:val="auto"/>
                <w:sz w:val="21"/>
                <w:szCs w:val="21"/>
                <w:lang w:val="en-US" w:eastAsia="zh-CN"/>
              </w:rPr>
              <w:t>能源消耗和固废的排放</w:t>
            </w:r>
            <w:r>
              <w:rPr>
                <w:rFonts w:hint="eastAsia" w:ascii="宋体" w:hAnsi="宋体" w:eastAsia="宋体" w:cs="宋体"/>
                <w:color w:val="auto"/>
                <w:sz w:val="21"/>
                <w:szCs w:val="21"/>
              </w:rPr>
              <w:t>等，评价准确。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spacing w:line="320" w:lineRule="exact"/>
              <w:rPr>
                <w:rFonts w:ascii="Times New Roman" w:hAnsi="Times New Roman"/>
              </w:rPr>
            </w:pPr>
            <w:r>
              <w:rPr>
                <w:rFonts w:ascii="Times New Roman" w:hAnsi="Times New Roman"/>
              </w:rPr>
              <w:t>公司的《危险源辨识与风险评价管理程序》，规定了危险源识别方法、评价准则和控制方法。</w:t>
            </w:r>
          </w:p>
          <w:p>
            <w:pPr>
              <w:pStyle w:val="2"/>
            </w:pPr>
            <w:r>
              <w:rPr>
                <w:rFonts w:ascii="Times New Roman" w:hAnsi="Times New Roman"/>
              </w:rPr>
              <w:t>由</w:t>
            </w:r>
            <w:r>
              <w:rPr>
                <w:rFonts w:hint="eastAsia" w:ascii="Times New Roman" w:hAnsi="Times New Roman"/>
              </w:rPr>
              <w:t>综合服务部组织进行了危险源识别评价，重大危险源：火灾事故的发生、触电、噪声伤害、中暑、意外伤害、物体打击、高空坠落、机械/车辆伤害等，评价准确。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2"/>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 目标、方案</w:t>
            </w:r>
          </w:p>
          <w:p>
            <w:pPr>
              <w:spacing w:line="240" w:lineRule="exact"/>
              <w:rPr>
                <w:rFonts w:hint="eastAsia"/>
              </w:rPr>
            </w:pPr>
            <w:r>
              <w:rPr>
                <w:rFonts w:hint="eastAsia"/>
              </w:rPr>
              <w:t xml:space="preserve">  </w:t>
            </w:r>
          </w:p>
          <w:p>
            <w:pPr>
              <w:spacing w:line="240" w:lineRule="exact"/>
              <w:rPr>
                <w:rFonts w:hint="eastAsia"/>
              </w:rPr>
            </w:pPr>
            <w:r>
              <w:rPr>
                <w:rFonts w:hint="eastAsia"/>
              </w:rPr>
              <w:t xml:space="preserve">质量 工程一次交验合格率100% 100% </w:t>
            </w:r>
          </w:p>
          <w:p>
            <w:pPr>
              <w:spacing w:line="240" w:lineRule="exact"/>
              <w:rPr>
                <w:rFonts w:hint="eastAsia"/>
              </w:rPr>
            </w:pPr>
            <w:r>
              <w:rPr>
                <w:rFonts w:hint="eastAsia"/>
              </w:rPr>
              <w:t xml:space="preserve">顾客满意率≥95% ≥95% </w:t>
            </w:r>
          </w:p>
          <w:p>
            <w:pPr>
              <w:spacing w:line="240" w:lineRule="exact"/>
              <w:rPr>
                <w:rFonts w:hint="eastAsia"/>
              </w:rPr>
            </w:pPr>
            <w:r>
              <w:rPr>
                <w:rFonts w:hint="eastAsia"/>
              </w:rPr>
              <w:t xml:space="preserve">环境 施工噪声:投诉率为0 实现全年无投诉 </w:t>
            </w:r>
          </w:p>
          <w:p>
            <w:pPr>
              <w:spacing w:line="240" w:lineRule="exact"/>
              <w:rPr>
                <w:rFonts w:hint="eastAsia"/>
              </w:rPr>
            </w:pPr>
            <w:r>
              <w:rPr>
                <w:rFonts w:hint="eastAsia"/>
              </w:rPr>
              <w:t xml:space="preserve">固体废弃物分类处置率100% 100% </w:t>
            </w:r>
          </w:p>
          <w:p>
            <w:pPr>
              <w:spacing w:line="240" w:lineRule="exact"/>
              <w:rPr>
                <w:rFonts w:hint="eastAsia"/>
              </w:rPr>
            </w:pPr>
            <w:r>
              <w:rPr>
                <w:rFonts w:hint="eastAsia"/>
              </w:rPr>
              <w:t xml:space="preserve">职业健康安全 火灾、触电事故为零 0 </w:t>
            </w:r>
          </w:p>
          <w:p>
            <w:pPr>
              <w:spacing w:line="240" w:lineRule="exact"/>
              <w:rPr>
                <w:rFonts w:hint="eastAsia"/>
              </w:rPr>
            </w:pPr>
            <w:r>
              <w:rPr>
                <w:rFonts w:hint="eastAsia"/>
              </w:rPr>
              <w:t xml:space="preserve">重伤率不超过0.6‰，轻伤人数单位工程控制在2‰以内 0 </w:t>
            </w:r>
          </w:p>
          <w:p>
            <w:pPr>
              <w:pStyle w:val="2"/>
              <w:ind w:firstLine="460" w:firstLineChars="200"/>
              <w:rPr>
                <w:rFonts w:hint="default" w:eastAsia="宋体"/>
                <w:lang w:val="en-US" w:eastAsia="zh-CN"/>
              </w:rPr>
            </w:pPr>
            <w:r>
              <w:rPr>
                <w:rFonts w:hint="eastAsia"/>
                <w:lang w:val="en-US" w:eastAsia="zh-CN"/>
              </w:rPr>
              <w:t>经查，</w:t>
            </w:r>
            <w:r>
              <w:rPr>
                <w:rFonts w:hint="eastAsia"/>
              </w:rPr>
              <w:t>在相关层次上建立可测量的目标，目标、方案的有效性，对质量目标的实现情况进行评价并叙述测量方法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查《文件和资料管理程序 》、《记录管理程序》等对成文信息有相关规定，符合标准要求。</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文件的分类：</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1.管理手册STWL-QEOM-2020-A/0版，2020年6月1日发表实施（含管理方针、目标）</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2.程序文件STWL-QEOP-2020-A/0含43个文件，包括标准要求的程序</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3.管理制度：包括目标管理制度、施工机具管理制度、安全生产管理制度、工程技术管理制度、绩效考核管理制度等。</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4.体系运行所需要的记录。</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文件的控制：</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了《文件收发记录》，内容包括文件编号、版本、文件名称、分发号、交件人、签收、交接时间、备注。有管理手册、程序文件、作业文件汇编和外来文件的发放记录，有各部门的签收。从发放记录看，发放适宜，相关部门能获得。</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存储、保护：体系文件由使用部门自行保存、专人管理。办公室体系文件在内部发布，部门领导及相关人员也可共享，系统规定了访问了权限、修改及审批权限，并有一定的保密要求。</w:t>
            </w:r>
          </w:p>
          <w:p>
            <w:pPr>
              <w:spacing w:line="32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手册及《文件和资料管理程序》中对文件的更改、保留与处置均做了相应的规定。</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rPr>
              <w:t>公司编制文件化的组织架构和岗位说明书，确定并配备所需的人员，以有效实施三标一体化管理体系并运行和控制其过程。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2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ascii="Times New Roman" w:hAnsi="Times New Roman"/>
              </w:rPr>
              <w:t>拥有设备和仪器：</w:t>
            </w:r>
            <w:r>
              <w:rPr>
                <w:rFonts w:hint="eastAsia" w:ascii="Times New Roman" w:hAnsi="Times New Roman"/>
              </w:rPr>
              <w:t>网线钳、测线仪、万用表、光纤熔接机、螺丝刀套装、压线工具、光纤剥离钳、线缆剪、光纤剪刀、剥线钳、充电起子、手电钻、梯子、管子钳、角磨机、切割机、卷尺、光时域反射仪、网络测试仪、安全帽、扳手等</w:t>
            </w:r>
            <w:r>
              <w:rPr>
                <w:rFonts w:hint="eastAsia" w:ascii="Times New Roman" w:hAnsi="Times New Roman"/>
                <w:lang w:val="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管理手册7.1.4中，对组织办公环境及施工作业环境和人文环境管理和控制做了规定。</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办公区环境的维护，光线充足、温度适宜，配有绿植、暖气、引水机等，办公环境满足要求。</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各项目部负责对施工作业环境（包括分包方）实施</w:t>
            </w:r>
            <w:r>
              <w:rPr>
                <w:rFonts w:hint="eastAsia" w:asciiTheme="minorEastAsia" w:hAnsiTheme="minorEastAsia" w:eastAsiaTheme="minorEastAsia" w:cstheme="minorEastAsia"/>
                <w:spacing w:val="6"/>
                <w:sz w:val="21"/>
                <w:szCs w:val="21"/>
              </w:rPr>
              <w:t>管理。对施工现场办公、生活环境要求：安全适用，卫生健康，整洁舒适；对施工场地机具设备、各类原材料及半成品堆放布置要求井然有序；推行现场文明施工；制定冬雨季施工制定技术措施,做好冬季“四防”和夏季“四防”工作等。</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办公室关注公司从业人员的心里因素及所处社会环境的变化，包括：地域环境、社会环境的变化；各部门管理人员应充分关注各级从业人员心里因素的异常变化，掌握公司员工相关因素的反馈信息，必要时制定相关措施。</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项目部在施工组织设计、施工方案的编制审批时考虑这些因素，定期检查过程运行环境提供和保持情况，提出改进指导意见；项目部负责实施过程运行环境的提供和保持。</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Cs/>
                <w:sz w:val="21"/>
                <w:szCs w:val="21"/>
              </w:rPr>
              <w:sym w:font="Wingdings 2" w:char="F098"/>
            </w:r>
            <w:r>
              <w:rPr>
                <w:rFonts w:hint="eastAsia" w:asciiTheme="minorEastAsia" w:hAnsiTheme="minorEastAsia" w:eastAsiaTheme="minorEastAsia" w:cstheme="minorEastAsia"/>
                <w:bCs/>
                <w:sz w:val="21"/>
                <w:szCs w:val="21"/>
              </w:rPr>
              <w:t>现场观察</w:t>
            </w:r>
            <w:r>
              <w:rPr>
                <w:rFonts w:hint="eastAsia" w:asciiTheme="minorEastAsia" w:hAnsiTheme="minorEastAsia" w:eastAsiaTheme="minorEastAsia" w:cstheme="minorEastAsia"/>
                <w:bCs/>
                <w:sz w:val="21"/>
                <w:szCs w:val="21"/>
                <w:lang w:val="en-US" w:eastAsia="zh-CN"/>
              </w:rPr>
              <w:t>基本</w:t>
            </w:r>
            <w:r>
              <w:rPr>
                <w:rFonts w:hint="eastAsia" w:asciiTheme="minorEastAsia" w:hAnsiTheme="minorEastAsia" w:eastAsiaTheme="minorEastAsia" w:cstheme="minorEastAsia"/>
                <w:bCs/>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工程服务部按照《管理手册》第7.1.5条内容对公司现有的监视和测量设备进行维护、管理。</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负责人介绍：对设备的使用、管理人员进行了培训，</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现在无设备失准情况；</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查新购测量设备：暂无</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查租赁测量设备：无</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sym w:font="Wingdings 2" w:char="F098"/>
            </w:r>
            <w:r>
              <w:rPr>
                <w:rFonts w:hint="eastAsia" w:asciiTheme="minorEastAsia" w:hAnsiTheme="minorEastAsia" w:eastAsiaTheme="minorEastAsia" w:cstheme="minorEastAsia"/>
                <w:spacing w:val="6"/>
                <w:sz w:val="21"/>
                <w:szCs w:val="21"/>
              </w:rPr>
              <w:t>暂无需确认的监视测量软件。</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查检定证书：</w:t>
            </w:r>
          </w:p>
          <w:p>
            <w:pPr>
              <w:autoSpaceDE w:val="0"/>
              <w:autoSpaceDN w:val="0"/>
              <w:adjustRightInd w:val="0"/>
              <w:snapToGrid w:val="0"/>
              <w:spacing w:line="276"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数字万用表，证书编号HK2010131696，型号规格：VC890D,检定单位：深圳华科计量检测技术有限公司，检定结论：合格，有效期至2021年10月12日；</w:t>
            </w:r>
          </w:p>
          <w:p>
            <w:pPr>
              <w:autoSpaceDE w:val="0"/>
              <w:autoSpaceDN w:val="0"/>
              <w:adjustRightInd w:val="0"/>
              <w:snapToGrid w:val="0"/>
              <w:spacing w:line="276" w:lineRule="auto"/>
            </w:pPr>
            <w:r>
              <w:rPr>
                <w:rFonts w:hint="eastAsia" w:asciiTheme="minorEastAsia" w:hAnsiTheme="minorEastAsia" w:eastAsiaTheme="minorEastAsia" w:cstheme="minorEastAsia"/>
                <w:spacing w:val="6"/>
                <w:sz w:val="21"/>
                <w:szCs w:val="21"/>
              </w:rPr>
              <w:t>钢卷尺，证书编号HK2010131695，型号规格：5m,检定单位：深圳华科计量检测技术有限公司，检定结论：合格，有效期至2021年10月12日；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360" w:lineRule="auto"/>
              <w:ind w:firstLine="400" w:firstLineChars="200"/>
              <w:rPr>
                <w:rFonts w:ascii="宋体"/>
                <w:sz w:val="20"/>
              </w:rPr>
            </w:pPr>
            <w:r>
              <w:rPr>
                <w:rFonts w:hint="eastAsia" w:ascii="宋体" w:hAnsi="宋体"/>
                <w:sz w:val="20"/>
              </w:rPr>
              <w:t>公司确定运行过程所需的知识，以获得合格产品和服务；公司的知识可以基于内部来源和外部来源，</w:t>
            </w:r>
          </w:p>
          <w:p>
            <w:pPr>
              <w:spacing w:line="360" w:lineRule="auto"/>
              <w:rPr>
                <w:rFonts w:ascii="宋体"/>
                <w:sz w:val="20"/>
              </w:rPr>
            </w:pPr>
            <w:r>
              <w:rPr>
                <w:rFonts w:hint="eastAsia" w:ascii="宋体" w:hAnsi="宋体"/>
                <w:sz w:val="20"/>
              </w:rPr>
              <w:t>公司为应对不断变化的需求和发展趋势，考虑现有的知识，确定如何获取理多必要的知识，并进行更新。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环保设施</w:t>
            </w:r>
            <w:r>
              <w:rPr>
                <w:rFonts w:hint="eastAsia" w:ascii="宋体" w:hAnsi="宋体"/>
                <w:b/>
                <w:sz w:val="21"/>
                <w:szCs w:val="21"/>
                <w:lang w:val="en-US" w:eastAsia="zh-CN"/>
              </w:rPr>
              <w:t>/</w:t>
            </w:r>
            <w:r>
              <w:rPr>
                <w:rFonts w:hint="eastAsia" w:ascii="宋体" w:hAnsi="宋体"/>
                <w:b/>
                <w:sz w:val="21"/>
                <w:szCs w:val="21"/>
              </w:rPr>
              <w:t>职业健康安全设施：</w:t>
            </w:r>
          </w:p>
          <w:p>
            <w:pPr>
              <w:spacing w:line="240" w:lineRule="exact"/>
              <w:rPr>
                <w:rFonts w:hint="eastAsia" w:ascii="宋体" w:hAnsi="宋体" w:eastAsia="宋体"/>
                <w:b/>
                <w:sz w:val="21"/>
                <w:szCs w:val="21"/>
                <w:lang w:val="en-US" w:eastAsia="zh-CN"/>
              </w:rPr>
            </w:pPr>
          </w:p>
          <w:p>
            <w:pPr>
              <w:spacing w:line="240" w:lineRule="exact"/>
              <w:rPr>
                <w:rFonts w:hint="default" w:ascii="宋体" w:hAnsi="宋体" w:eastAsia="宋体"/>
                <w:b w:val="0"/>
                <w:bCs/>
                <w:sz w:val="21"/>
                <w:szCs w:val="21"/>
                <w:lang w:val="en-US" w:eastAsia="zh-CN"/>
              </w:rPr>
            </w:pPr>
            <w:r>
              <w:rPr>
                <w:rFonts w:hint="default" w:ascii="宋体" w:hAnsi="宋体" w:eastAsia="宋体"/>
                <w:b w:val="0"/>
                <w:bCs/>
                <w:sz w:val="21"/>
                <w:szCs w:val="21"/>
                <w:lang w:val="en-US" w:eastAsia="zh-CN"/>
              </w:rPr>
              <w:t>环保设施包括：垃圾桶、消防管线、灭火器；</w:t>
            </w:r>
          </w:p>
          <w:p>
            <w:pPr>
              <w:spacing w:line="240" w:lineRule="exact"/>
              <w:rPr>
                <w:rFonts w:ascii="宋体" w:hAnsi="宋体"/>
                <w:b/>
                <w:color w:val="000000" w:themeColor="text1"/>
                <w:sz w:val="20"/>
                <w:szCs w:val="20"/>
              </w:rPr>
            </w:pPr>
            <w:r>
              <w:rPr>
                <w:rFonts w:hint="default" w:ascii="宋体" w:hAnsi="宋体" w:eastAsia="宋体"/>
                <w:b w:val="0"/>
                <w:bCs/>
                <w:sz w:val="21"/>
                <w:szCs w:val="21"/>
                <w:lang w:val="en-US" w:eastAsia="zh-CN"/>
              </w:rPr>
              <w:t>安全设施配置主要有：围栏、标识牌、灭火器、消防器材等。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firstLine="400" w:firstLineChars="200"/>
              <w:rPr>
                <w:rFonts w:ascii="宋体"/>
                <w:sz w:val="20"/>
              </w:rPr>
            </w:pPr>
            <w:r>
              <w:rPr>
                <w:rFonts w:hint="eastAsia"/>
                <w:color w:val="000000"/>
                <w:sz w:val="20"/>
              </w:rPr>
              <w:t>方针符合组织的宗旨，</w:t>
            </w:r>
            <w:r>
              <w:rPr>
                <w:rFonts w:hint="eastAsia" w:ascii="宋体" w:hAnsi="宋体"/>
                <w:sz w:val="20"/>
              </w:rPr>
              <w:t>一体化管理方针形成文件传达到全体员工，确保得到有效控制，使全体员工正确理解并坚决执行，且应定期对其适宜性进行评审。</w:t>
            </w:r>
          </w:p>
          <w:p>
            <w:pPr>
              <w:spacing w:line="300" w:lineRule="exact"/>
              <w:ind w:left="1" w:left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内部沟通的情况：内部沟通方式：内部沟通方式：文件、开会、微信等</w:t>
            </w:r>
          </w:p>
          <w:p>
            <w:pPr>
              <w:spacing w:line="240" w:lineRule="exact"/>
              <w:rPr>
                <w:rFonts w:ascii="宋体" w:hAnsi="宋体"/>
                <w:b/>
                <w:sz w:val="21"/>
                <w:szCs w:val="21"/>
              </w:rPr>
            </w:pPr>
            <w:r>
              <w:rPr>
                <w:rFonts w:hint="eastAsia" w:ascii="宋体" w:hAnsi="宋体"/>
                <w:b/>
                <w:sz w:val="21"/>
                <w:szCs w:val="21"/>
              </w:rPr>
              <w:t xml:space="preserve">                内部沟通的效果：有效</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组织对外联络，关注顾客的感受情况（QMS）：顾客满意度评价、合同等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重要环境因素信息对外交流情况（EMS填写）：告之员工和外来人员并张贴警示标记。</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OHSMS事务代表协商和交流的情况（OHSMS填写）：告之员工谁是OHSMS事务代表，参与公司的职业健康安全事务。</w:t>
            </w:r>
          </w:p>
          <w:p>
            <w:pPr>
              <w:spacing w:line="240" w:lineRule="exact"/>
              <w:rPr>
                <w:rFonts w:ascii="宋体" w:hAnsi="宋体"/>
                <w:b/>
                <w:sz w:val="21"/>
                <w:szCs w:val="21"/>
              </w:rPr>
            </w:pPr>
          </w:p>
          <w:p>
            <w:pPr>
              <w:spacing w:line="240" w:lineRule="exact"/>
              <w:rPr>
                <w:rFonts w:ascii="楷体_GB2312" w:eastAsia="楷体_GB2312"/>
                <w:b/>
                <w:color w:val="000000" w:themeColor="text1"/>
                <w:szCs w:val="21"/>
              </w:rPr>
            </w:pPr>
            <w:r>
              <w:rPr>
                <w:rFonts w:hint="eastAsia" w:ascii="宋体" w:hAnsi="宋体"/>
                <w:b/>
                <w:sz w:val="21"/>
                <w:szCs w:val="21"/>
              </w:rPr>
              <w:t>与相关方协商的情况（OHSMS填写）：与承包方就影响他们的职业健康安全变更进行协商并确保与相关的外部相关方就有关的职业健康安全事务进行协商。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3.  QMS 组织对重要过程实施控制的结果</w:t>
            </w:r>
          </w:p>
          <w:p>
            <w:pPr>
              <w:spacing w:line="240" w:lineRule="exact"/>
              <w:ind w:left="193" w:leftChars="42" w:hanging="105" w:hangingChars="50"/>
            </w:pPr>
            <w:r>
              <w:rPr>
                <w:rFonts w:hint="eastAsia"/>
              </w:rPr>
              <w:t>(包括对QMS关键工序(过程)、特殊过程控制;评价组织对过程实施控制情况/)</w:t>
            </w:r>
          </w:p>
          <w:p>
            <w:pPr>
              <w:spacing w:line="360" w:lineRule="auto"/>
              <w:jc w:val="left"/>
              <w:rPr>
                <w:rFonts w:hint="eastAsia"/>
              </w:rPr>
            </w:pPr>
            <w:r>
              <w:rPr>
                <w:rFonts w:hint="eastAsia"/>
                <w:lang w:val="en-US" w:eastAsia="zh-CN"/>
              </w:rPr>
              <w:t>施工</w:t>
            </w:r>
            <w:r>
              <w:rPr>
                <w:rFonts w:hint="eastAsia"/>
              </w:rPr>
              <w:t>流程</w:t>
            </w:r>
            <w:r>
              <w:rPr>
                <w:rFonts w:hint="eastAsia"/>
                <w:lang w:val="en-US" w:eastAsia="zh-CN"/>
              </w:rPr>
              <w:t>策划</w:t>
            </w:r>
            <w:r>
              <w:rPr>
                <w:rFonts w:hint="eastAsia"/>
              </w:rPr>
              <w:t>：</w:t>
            </w:r>
          </w:p>
          <w:p>
            <w:pPr>
              <w:spacing w:line="400" w:lineRule="exact"/>
              <w:ind w:firstLine="420" w:firstLineChars="200"/>
              <w:rPr>
                <w:rFonts w:hint="default"/>
                <w:lang w:val="en-US" w:eastAsia="zh-CN"/>
              </w:rPr>
            </w:pPr>
            <w:r>
              <w:rPr>
                <w:rFonts w:hint="eastAsia"/>
                <w:lang w:eastAsia="zh-CN"/>
              </w:rPr>
              <w:t>设备线材、管材等采购</w:t>
            </w:r>
            <w:r>
              <w:rPr>
                <w:rFonts w:hint="default"/>
                <w:lang w:eastAsia="zh-CN"/>
              </w:rPr>
              <w:t>→</w:t>
            </w:r>
            <w:r>
              <w:rPr>
                <w:rFonts w:hint="eastAsia"/>
              </w:rPr>
              <w:t>线缆</w:t>
            </w:r>
            <w:r>
              <w:rPr>
                <w:rFonts w:hint="eastAsia"/>
                <w:lang w:val="en-US" w:eastAsia="zh-CN"/>
              </w:rPr>
              <w:t>铺设</w:t>
            </w:r>
            <w:r>
              <w:rPr>
                <w:rFonts w:hint="default"/>
                <w:lang w:eastAsia="zh-CN"/>
              </w:rPr>
              <w:t>→</w:t>
            </w:r>
            <w:r>
              <w:rPr>
                <w:rFonts w:hint="eastAsia"/>
              </w:rPr>
              <w:t>智能设备安装</w:t>
            </w:r>
            <w:r>
              <w:rPr>
                <w:rFonts w:hint="default"/>
                <w:lang w:eastAsia="zh-CN"/>
              </w:rPr>
              <w:t>→</w:t>
            </w:r>
            <w:r>
              <w:rPr>
                <w:rFonts w:hint="eastAsia"/>
              </w:rPr>
              <w:t>调试</w:t>
            </w:r>
            <w:r>
              <w:rPr>
                <w:rFonts w:hint="default"/>
                <w:lang w:eastAsia="zh-CN"/>
              </w:rPr>
              <w:t>→</w:t>
            </w:r>
            <w:r>
              <w:rPr>
                <w:rFonts w:hint="eastAsia"/>
                <w:lang w:val="en-US" w:eastAsia="zh-CN"/>
              </w:rPr>
              <w:t>验收</w:t>
            </w:r>
          </w:p>
          <w:p>
            <w:pPr>
              <w:spacing w:line="400" w:lineRule="exact"/>
              <w:ind w:firstLine="420" w:firstLineChars="200"/>
              <w:rPr>
                <w:rFonts w:hint="eastAsia"/>
              </w:rPr>
            </w:pPr>
            <w:r>
              <w:rPr>
                <w:rFonts w:hint="eastAsia"/>
              </w:rPr>
              <w:t>整个工程安排为如下四个施工段。</w:t>
            </w:r>
          </w:p>
          <w:p>
            <w:pPr>
              <w:spacing w:line="400" w:lineRule="exact"/>
              <w:rPr>
                <w:rFonts w:hint="eastAsia"/>
              </w:rPr>
            </w:pPr>
            <w:r>
              <w:rPr>
                <w:rFonts w:hint="eastAsia"/>
              </w:rPr>
              <w:t xml:space="preserve">     1、 第一阶段为</w:t>
            </w:r>
            <w:r>
              <w:rPr>
                <w:rFonts w:hint="eastAsia"/>
                <w:lang w:eastAsia="zh-CN"/>
              </w:rPr>
              <w:t>设备线材、管材等采购，与交叉作业相关单位沟通作业面交付事宜</w:t>
            </w:r>
            <w:r>
              <w:rPr>
                <w:rFonts w:hint="eastAsia"/>
              </w:rPr>
              <w:t>，为后期敷设线缆做准备；</w:t>
            </w:r>
          </w:p>
          <w:p>
            <w:pPr>
              <w:spacing w:line="400" w:lineRule="exact"/>
              <w:rPr>
                <w:rFonts w:hint="eastAsia"/>
              </w:rPr>
            </w:pPr>
            <w:r>
              <w:rPr>
                <w:rFonts w:hint="eastAsia"/>
              </w:rPr>
              <w:t xml:space="preserve">     2 、第二阶段为铺设线缆阶段，按照智能设备的安装位置，铺设相应的线缆，并保证其线缆的通路；</w:t>
            </w:r>
          </w:p>
          <w:p>
            <w:pPr>
              <w:spacing w:line="400" w:lineRule="exact"/>
              <w:ind w:firstLine="539" w:firstLineChars="257"/>
              <w:rPr>
                <w:rFonts w:hint="eastAsia"/>
              </w:rPr>
            </w:pPr>
            <w:r>
              <w:rPr>
                <w:rFonts w:hint="eastAsia"/>
              </w:rPr>
              <w:t>3、 第三阶段为智能设备安装阶段，其主要是将智能设备按照施工图纸标注的位置、按照标准规范安装到位，并与相对应的梯口设备连接保证设备的通路；</w:t>
            </w:r>
          </w:p>
          <w:p>
            <w:pPr>
              <w:spacing w:line="400" w:lineRule="exact"/>
              <w:ind w:firstLine="539" w:firstLineChars="257"/>
              <w:rPr>
                <w:rFonts w:hint="eastAsia"/>
              </w:rPr>
            </w:pPr>
            <w:r>
              <w:rPr>
                <w:rFonts w:hint="eastAsia"/>
              </w:rPr>
              <w:t>4、 第四阶段为调试阶段，主要是将智能设备按照技术要求与网络连通，并调试设备使其正常运行达到设计要求。</w:t>
            </w:r>
          </w:p>
          <w:p>
            <w:pPr>
              <w:spacing w:line="360" w:lineRule="auto"/>
              <w:ind w:firstLine="420" w:firstLineChars="200"/>
              <w:jc w:val="left"/>
              <w:rPr>
                <w:rFonts w:hint="eastAsia"/>
                <w:lang w:val="en-US" w:eastAsia="zh-CN"/>
              </w:rPr>
            </w:pPr>
            <w:r>
              <w:rPr>
                <w:rFonts w:hint="eastAsia"/>
                <w:lang w:val="en-US" w:eastAsia="zh-CN"/>
              </w:rPr>
              <w:t>关键过程：调试</w:t>
            </w:r>
          </w:p>
          <w:p>
            <w:pPr>
              <w:spacing w:line="360" w:lineRule="auto"/>
              <w:ind w:firstLine="420" w:firstLineChars="200"/>
              <w:jc w:val="left"/>
              <w:rPr>
                <w:rFonts w:hint="eastAsia"/>
                <w:lang w:val="en-US" w:eastAsia="zh-CN"/>
              </w:rPr>
            </w:pPr>
            <w:r>
              <w:rPr>
                <w:rFonts w:hint="eastAsia"/>
              </w:rPr>
              <w:t>隐蔽工程</w:t>
            </w:r>
            <w:r>
              <w:rPr>
                <w:rFonts w:hint="eastAsia"/>
                <w:lang w:eastAsia="zh-CN"/>
              </w:rPr>
              <w:t>：</w:t>
            </w:r>
            <w:r>
              <w:rPr>
                <w:rFonts w:hint="eastAsia"/>
                <w:lang w:val="en-US" w:eastAsia="zh-CN"/>
              </w:rPr>
              <w:t>线缆预留、铺设</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项目现场查见本项目《施工组织设计》，经现场确认，规定的要求组织人员、设备机具和原材料进场，搭设临时办公场所，并进行</w:t>
            </w:r>
            <w:r>
              <w:rPr>
                <w:rFonts w:hint="eastAsia" w:asciiTheme="minorEastAsia" w:hAnsiTheme="minorEastAsia" w:eastAsiaTheme="minorEastAsia" w:cstheme="minorEastAsia"/>
                <w:color w:val="auto"/>
                <w:sz w:val="21"/>
                <w:szCs w:val="21"/>
                <w:lang w:eastAsia="zh-CN"/>
              </w:rPr>
              <w:t>自检</w:t>
            </w:r>
            <w:r>
              <w:rPr>
                <w:rFonts w:hint="eastAsia" w:asciiTheme="minorEastAsia" w:hAnsiTheme="minorEastAsia" w:eastAsiaTheme="minorEastAsia" w:cstheme="minorEastAsia"/>
                <w:color w:val="auto"/>
                <w:sz w:val="21"/>
                <w:szCs w:val="21"/>
              </w:rPr>
              <w:t>，进场准备完后</w:t>
            </w:r>
            <w:r>
              <w:rPr>
                <w:rFonts w:hint="eastAsia" w:asciiTheme="minorEastAsia" w:hAnsiTheme="minorEastAsia" w:eastAsiaTheme="minorEastAsia" w:cstheme="minorEastAsia"/>
                <w:color w:val="auto"/>
                <w:sz w:val="21"/>
                <w:szCs w:val="21"/>
                <w:lang w:eastAsia="zh-CN"/>
              </w:rPr>
              <w:t>提交</w:t>
            </w:r>
            <w:r>
              <w:rPr>
                <w:rFonts w:hint="eastAsia" w:asciiTheme="minorEastAsia" w:hAnsiTheme="minorEastAsia" w:eastAsiaTheme="minorEastAsia" w:cstheme="minorEastAsia"/>
                <w:color w:val="auto"/>
                <w:sz w:val="21"/>
                <w:szCs w:val="21"/>
              </w:rPr>
              <w:t>监理验收批准开工；</w:t>
            </w:r>
          </w:p>
          <w:p>
            <w:pPr>
              <w:spacing w:line="360" w:lineRule="auto"/>
              <w:ind w:firstLine="105" w:firstLineChars="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查到：本工程的施工图纸，设计</w:t>
            </w:r>
            <w:r>
              <w:rPr>
                <w:rFonts w:hint="eastAsia" w:asciiTheme="minorEastAsia" w:hAnsiTheme="minorEastAsia" w:eastAsiaTheme="minorEastAsia" w:cstheme="minorEastAsia"/>
                <w:color w:val="auto"/>
                <w:sz w:val="21"/>
                <w:szCs w:val="21"/>
                <w:lang w:eastAsia="zh-CN"/>
              </w:rPr>
              <w:t>王小冬</w:t>
            </w:r>
            <w:r>
              <w:rPr>
                <w:rFonts w:hint="eastAsia" w:asciiTheme="minorEastAsia" w:hAnsiTheme="minorEastAsia" w:eastAsiaTheme="minorEastAsia" w:cstheme="minorEastAsia"/>
                <w:color w:val="auto"/>
                <w:sz w:val="21"/>
                <w:szCs w:val="21"/>
              </w:rPr>
              <w:t>、审定</w:t>
            </w:r>
            <w:r>
              <w:rPr>
                <w:rFonts w:hint="eastAsia" w:asciiTheme="minorEastAsia" w:hAnsiTheme="minorEastAsia" w:eastAsiaTheme="minorEastAsia" w:cstheme="minorEastAsia"/>
                <w:color w:val="auto"/>
                <w:sz w:val="21"/>
                <w:szCs w:val="21"/>
                <w:lang w:eastAsia="zh-CN"/>
              </w:rPr>
              <w:t>陈恩斌</w:t>
            </w:r>
            <w:r>
              <w:rPr>
                <w:rFonts w:hint="eastAsia" w:asciiTheme="minorEastAsia" w:hAnsiTheme="minorEastAsia" w:eastAsiaTheme="minorEastAsia" w:cstheme="minorEastAsia"/>
                <w:color w:val="auto"/>
                <w:sz w:val="21"/>
                <w:szCs w:val="21"/>
              </w:rPr>
              <w:t>。</w:t>
            </w:r>
          </w:p>
          <w:p>
            <w:pPr>
              <w:spacing w:line="360" w:lineRule="auto"/>
              <w:ind w:firstLine="105" w:firstLineChars="50"/>
            </w:pPr>
            <w:r>
              <w:rPr>
                <w:rFonts w:hint="eastAsia" w:asciiTheme="minorEastAsia" w:hAnsiTheme="minorEastAsia" w:eastAsiaTheme="minorEastAsia" w:cstheme="minorEastAsia"/>
                <w:color w:val="auto"/>
                <w:sz w:val="21"/>
                <w:szCs w:val="21"/>
              </w:rPr>
              <w:t>另见：主要施工设备表、主要材料及设备进场验收记录等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rFonts w:ascii="宋体" w:hAnsi="宋体"/>
                <w:b/>
                <w:sz w:val="21"/>
                <w:szCs w:val="21"/>
              </w:rPr>
            </w:pPr>
            <w:r>
              <w:rPr>
                <w:rFonts w:hint="eastAsia"/>
                <w:b/>
                <w:color w:val="000000" w:themeColor="text1"/>
                <w:sz w:val="20"/>
                <w:szCs w:val="20"/>
              </w:rPr>
              <w:t>4.</w:t>
            </w:r>
            <w:r>
              <w:rPr>
                <w:rFonts w:ascii="宋体" w:hAnsi="宋体"/>
                <w:b/>
                <w:sz w:val="21"/>
                <w:szCs w:val="21"/>
              </w:rPr>
              <w:t>QMS</w:t>
            </w:r>
            <w:r>
              <w:rPr>
                <w:rFonts w:hint="eastAsia" w:ascii="宋体" w:hAnsi="宋体"/>
                <w:b/>
                <w:sz w:val="21"/>
                <w:szCs w:val="21"/>
              </w:rPr>
              <w:t>/</w:t>
            </w:r>
            <w:r>
              <w:rPr>
                <w:rFonts w:hint="eastAsia" w:ascii="宋体" w:hAnsi="宋体"/>
                <w:b/>
                <w:szCs w:val="21"/>
              </w:rPr>
              <w:sym w:font="Wingdings 2" w:char="0052"/>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建立了分包管理制度，明确了分包管理的相关要求。</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分包过程有：塔式起重机、提升机等的租赁，见租赁合同，抽6#楼塔式起重机、提升机相关资料；</w:t>
            </w:r>
          </w:p>
          <w:p>
            <w:pPr>
              <w:numPr>
                <w:ilvl w:val="0"/>
                <w:numId w:val="0"/>
              </w:numPr>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劳务分包：见劳务分包合同及相关管控，</w:t>
            </w:r>
          </w:p>
          <w:p>
            <w:pPr>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建立了施工质量检查制度，试验、检测管理制度和施工质量检查验收制度，对施工质量试验、检测、和验收进行了策划，内容符合要求。</w:t>
            </w:r>
          </w:p>
          <w:p>
            <w:pPr>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公司质检员均经培训，经考核符合要求后上岗。每个项目部均配备一名质量员，质量员持证上岗。</w:t>
            </w:r>
          </w:p>
          <w:p>
            <w:pPr>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检查依据准则包括：设计文件、施工图纸、合同要求、各专项工程质量施工及验收规范、技术规程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查工程竣工验收报告：记录了工程名称、工程地点、工程性质、开工日期、竣工日期、建设单位、总包单位、监理单位、工程量及简要内容；</w:t>
            </w:r>
          </w:p>
          <w:p>
            <w:pPr>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验收意见：合格</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参加人员：监理单位现场代表、总工程师、建设单位项目负责人、总包单位技术负责人、施工单位项目负责人</w:t>
            </w:r>
            <w:r>
              <w:rPr>
                <w:rFonts w:hint="eastAsia" w:asciiTheme="minorEastAsia" w:hAnsiTheme="minorEastAsia" w:eastAsiaTheme="minorEastAsia" w:cstheme="minorEastAsia"/>
                <w:color w:val="auto"/>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质量问题处理依据不合格品控制程序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对不合格品和不符合的识别和控制有明确的规定。规定了对不合格处置方法：返工、返修、报废等。</w:t>
            </w:r>
          </w:p>
          <w:p>
            <w:pPr>
              <w:spacing w:line="400" w:lineRule="exact"/>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现场审核，未发现不符合。</w:t>
            </w:r>
          </w:p>
          <w:p>
            <w:pPr>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实际施工过程中，工程部会同项目部的技术负责人组成检查组，定期或不定期对公司在建项目进行检查，检查包括施工质量、环境、安全等内容。</w:t>
            </w:r>
          </w:p>
          <w:p>
            <w:pPr>
              <w:pStyle w:val="3"/>
              <w:tabs>
                <w:tab w:val="left" w:pos="7650"/>
              </w:tabs>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项目部配合工程部对重大不合格工程产品的评审和处置，总经理负责对质量事故的奖罚和事故责任追究。</w:t>
            </w:r>
          </w:p>
          <w:p>
            <w:pPr>
              <w:spacing w:line="240" w:lineRule="exact"/>
              <w:rPr>
                <w:b/>
                <w:color w:val="000000" w:themeColor="text1"/>
                <w:sz w:val="20"/>
                <w:szCs w:val="20"/>
              </w:rPr>
            </w:pPr>
            <w:r>
              <w:rPr>
                <w:rFonts w:hint="eastAsia" w:asciiTheme="minorEastAsia" w:hAnsiTheme="minorEastAsia" w:eastAsiaTheme="minorEastAsia" w:cstheme="minorEastAsia"/>
                <w:color w:val="auto"/>
                <w:kern w:val="0"/>
                <w:sz w:val="21"/>
                <w:szCs w:val="21"/>
              </w:rPr>
              <w:t>公司对施工过程发生的不合格品，一般轻微不合格现场指出，及时整改。目前为止项目部未发生比较大的质量不合格品，一般的轻微不符合都在现场及时解决了，未发现有需要上报公司解决的不合格。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ind w:firstLine="420" w:firstLineChars="200"/>
              <w:rPr>
                <w:b/>
                <w:color w:val="000000" w:themeColor="text1"/>
                <w:sz w:val="20"/>
                <w:szCs w:val="20"/>
              </w:rPr>
            </w:pPr>
            <w:r>
              <w:rPr>
                <w:rFonts w:hint="eastAsia" w:cs="宋体" w:asciiTheme="minorEastAsia" w:hAnsiTheme="minorEastAsia"/>
                <w:sz w:val="21"/>
                <w:szCs w:val="21"/>
              </w:rPr>
              <w:t>公司1）火灾、爆炸的发生；2）电消耗；3）固废（含危险固废）的排放；4）噪音，</w:t>
            </w:r>
            <w:r>
              <w:rPr>
                <w:rFonts w:hint="eastAsia" w:cs="宋体" w:asciiTheme="minorEastAsia" w:hAnsiTheme="minorEastAsia"/>
                <w:sz w:val="21"/>
                <w:szCs w:val="21"/>
                <w:lang w:val="en-US" w:eastAsia="zh-CN"/>
              </w:rPr>
              <w:t>等</w:t>
            </w:r>
            <w:r>
              <w:rPr>
                <w:rFonts w:hint="eastAsia" w:cs="宋体" w:asciiTheme="minorEastAsia" w:hAnsiTheme="minorEastAsia"/>
                <w:sz w:val="21"/>
                <w:szCs w:val="21"/>
              </w:rPr>
              <w:t>重要环境因素控制有效，未对周边环境和相关方产生</w:t>
            </w:r>
            <w:r>
              <w:rPr>
                <w:rFonts w:hint="eastAsia" w:cs="宋体" w:asciiTheme="minorEastAsia" w:hAnsiTheme="minorEastAsia"/>
                <w:sz w:val="21"/>
                <w:szCs w:val="21"/>
                <w:lang w:val="en-US" w:eastAsia="zh-CN"/>
              </w:rPr>
              <w:t>重大</w:t>
            </w:r>
            <w:r>
              <w:rPr>
                <w:rFonts w:hint="eastAsia" w:cs="宋体" w:asciiTheme="minorEastAsia" w:hAnsiTheme="minorEastAsia"/>
                <w:sz w:val="21"/>
                <w:szCs w:val="21"/>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ind w:firstLine="420" w:firstLineChars="200"/>
              <w:rPr>
                <w:b/>
                <w:color w:val="000000" w:themeColor="text1"/>
                <w:sz w:val="20"/>
                <w:szCs w:val="20"/>
              </w:rPr>
            </w:pPr>
            <w:r>
              <w:rPr>
                <w:rFonts w:hint="eastAsia" w:ascii="宋体" w:hAnsi="宋体"/>
                <w:sz w:val="21"/>
                <w:szCs w:val="21"/>
              </w:rPr>
              <w:t>火灾事故的发生、触电、噪声伤害、中暑、意外伤害、物体打击、高空坠落</w:t>
            </w:r>
            <w:r>
              <w:rPr>
                <w:rFonts w:hint="eastAsia" w:ascii="宋体" w:hAnsi="宋体"/>
                <w:sz w:val="21"/>
                <w:szCs w:val="21"/>
                <w:lang w:eastAsia="zh-CN"/>
              </w:rPr>
              <w:t>、</w:t>
            </w:r>
            <w:r>
              <w:rPr>
                <w:rFonts w:hint="eastAsia" w:ascii="宋体" w:hAnsi="宋体"/>
                <w:sz w:val="21"/>
                <w:szCs w:val="21"/>
              </w:rPr>
              <w:t>机械/车辆伤害等等不可接受风险控制有效，未发生</w:t>
            </w:r>
            <w:r>
              <w:rPr>
                <w:rFonts w:hint="eastAsia" w:ascii="宋体" w:hAnsi="宋体"/>
                <w:sz w:val="21"/>
                <w:szCs w:val="21"/>
                <w:lang w:val="en-US" w:eastAsia="zh-CN"/>
              </w:rPr>
              <w:t>重大</w:t>
            </w:r>
            <w:r>
              <w:rPr>
                <w:rFonts w:hint="eastAsia" w:ascii="宋体" w:hAnsi="宋体"/>
                <w:sz w:val="21"/>
                <w:szCs w:val="21"/>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查策划有《应急准备与响应控制程序》，编制有《火灾事故应急预案》</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2、应急准备工作开展以下活动：</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——建立有应急组织，提供应急组织机构图、消防队人员名单、职责权限规定等。</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——配备相应的消防器材。</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——进行消防常识和能力的培训、潜在的火灾爆炸的常识和能力的培训</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3、开展了消防器材的使用和人员紧急疏散演练活动：</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提供有“消防演习记录”。</w:t>
            </w:r>
          </w:p>
          <w:p>
            <w:pPr>
              <w:spacing w:line="240" w:lineRule="exact"/>
              <w:rPr>
                <w:b/>
                <w:color w:val="000000" w:themeColor="text1"/>
                <w:spacing w:val="-4"/>
                <w:sz w:val="20"/>
                <w:szCs w:val="20"/>
              </w:rPr>
            </w:pPr>
            <w:r>
              <w:rPr>
                <w:rFonts w:hint="eastAsia" w:asciiTheme="minorEastAsia" w:hAnsiTheme="minorEastAsia" w:eastAsiaTheme="minorEastAsia" w:cstheme="minorEastAsia"/>
                <w:color w:val="auto"/>
                <w:sz w:val="21"/>
                <w:szCs w:val="21"/>
              </w:rPr>
              <w:t>——对消防应急预案的适用性、可操作性进行评审；符合要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02" w:firstLineChars="200"/>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502" w:firstLineChars="250"/>
              <w:rPr>
                <w:rFonts w:hint="default" w:eastAsia="宋体"/>
                <w:b/>
                <w:color w:val="000000" w:themeColor="text1"/>
                <w:sz w:val="20"/>
                <w:szCs w:val="20"/>
                <w:lang w:val="en-US" w:eastAsia="zh-CN"/>
              </w:rPr>
            </w:pPr>
            <w:r>
              <w:rPr>
                <w:rFonts w:hint="eastAsia"/>
                <w:b/>
                <w:color w:val="000000" w:themeColor="text1"/>
                <w:sz w:val="20"/>
                <w:szCs w:val="20"/>
                <w:lang w:val="en-US" w:eastAsia="zh-CN"/>
              </w:rPr>
              <w:t>对员工进行定期体检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ind w:firstLine="420" w:firstLineChars="200"/>
              <w:rPr>
                <w:sz w:val="21"/>
                <w:szCs w:val="21"/>
              </w:rPr>
            </w:pPr>
            <w:r>
              <w:rPr>
                <w:rFonts w:hint="eastAsia"/>
                <w:sz w:val="21"/>
                <w:szCs w:val="21"/>
              </w:rPr>
              <w:t>公司通过电话，走访等形式，接受顾客反馈，了解顾客满意度信息，发放调查表对顾客满意度进行定量测量。</w:t>
            </w:r>
          </w:p>
          <w:p>
            <w:pPr>
              <w:ind w:firstLine="420" w:firstLineChars="200"/>
              <w:rPr>
                <w:b/>
                <w:color w:val="000000" w:themeColor="text1"/>
                <w:sz w:val="20"/>
                <w:szCs w:val="20"/>
              </w:rPr>
            </w:pPr>
            <w:r>
              <w:rPr>
                <w:rFonts w:hint="eastAsia"/>
                <w:sz w:val="21"/>
                <w:szCs w:val="21"/>
              </w:rPr>
              <w:t>提供“顾客满意程度调查表”顾客较满意。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ind w:firstLine="420" w:firstLineChars="200"/>
              <w:rPr>
                <w:b/>
                <w:color w:val="000000" w:themeColor="text1"/>
                <w:sz w:val="20"/>
                <w:szCs w:val="20"/>
              </w:rPr>
            </w:pPr>
            <w:r>
              <w:rPr>
                <w:rFonts w:hint="eastAsia"/>
                <w:sz w:val="21"/>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b/>
                <w:color w:val="000000" w:themeColor="text1"/>
                <w:sz w:val="20"/>
                <w:szCs w:val="20"/>
              </w:rPr>
            </w:pPr>
            <w:r>
              <w:rPr>
                <w:rFonts w:hint="eastAsia"/>
                <w:sz w:val="21"/>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ind w:firstLine="420" w:firstLineChars="200"/>
              <w:rPr>
                <w:rFonts w:hint="eastAsia"/>
                <w:sz w:val="21"/>
                <w:szCs w:val="21"/>
                <w:lang w:val="en-US" w:eastAsia="zh-CN"/>
              </w:rPr>
            </w:pPr>
          </w:p>
          <w:p>
            <w:pPr>
              <w:ind w:firstLine="420" w:firstLineChars="200"/>
              <w:rPr>
                <w:b/>
                <w:color w:val="000000" w:themeColor="text1"/>
                <w:sz w:val="20"/>
                <w:szCs w:val="20"/>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ind w:firstLine="420" w:firstLineChars="200"/>
              <w:rPr>
                <w:rFonts w:hint="eastAsia"/>
                <w:sz w:val="21"/>
                <w:szCs w:val="21"/>
                <w:lang w:val="en-US" w:eastAsia="zh-CN"/>
              </w:rPr>
            </w:pPr>
          </w:p>
          <w:p>
            <w:pPr>
              <w:spacing w:line="240" w:lineRule="exact"/>
              <w:rPr>
                <w:b/>
                <w:color w:val="000000" w:themeColor="text1"/>
                <w:sz w:val="20"/>
                <w:szCs w:val="20"/>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ind w:firstLine="420" w:firstLineChars="200"/>
              <w:rPr>
                <w:rFonts w:hint="eastAsia"/>
                <w:sz w:val="21"/>
                <w:szCs w:val="21"/>
                <w:lang w:val="en-US" w:eastAsia="zh-CN"/>
              </w:rPr>
            </w:pPr>
          </w:p>
          <w:p>
            <w:pPr>
              <w:spacing w:line="240" w:lineRule="exact"/>
              <w:rPr>
                <w:b/>
                <w:color w:val="000000" w:themeColor="text1"/>
                <w:sz w:val="20"/>
                <w:szCs w:val="20"/>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ind w:firstLine="420" w:firstLineChars="200"/>
              <w:rPr>
                <w:rFonts w:hint="eastAsia"/>
                <w:sz w:val="21"/>
                <w:szCs w:val="21"/>
                <w:lang w:val="en-US" w:eastAsia="zh-CN"/>
              </w:rPr>
            </w:pPr>
          </w:p>
          <w:p>
            <w:pPr>
              <w:spacing w:line="240" w:lineRule="exact"/>
              <w:rPr>
                <w:b/>
                <w:color w:val="000000" w:themeColor="text1"/>
                <w:sz w:val="20"/>
                <w:szCs w:val="20"/>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spacing w:line="240" w:lineRule="exact"/>
              <w:rPr>
                <w:rFonts w:hint="default" w:eastAsia="宋体"/>
                <w:b/>
                <w:color w:val="000000" w:themeColor="text1"/>
                <w:sz w:val="20"/>
                <w:szCs w:val="20"/>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有，见公司荣誉墙。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b/>
                <w:color w:val="000000" w:themeColor="text1"/>
                <w:sz w:val="20"/>
                <w:szCs w:val="20"/>
              </w:rPr>
            </w:pPr>
            <w:r>
              <w:rPr>
                <w:rFonts w:hint="eastAsia"/>
                <w:sz w:val="21"/>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Times New Roman"/>
                <w:b/>
                <w:sz w:val="21"/>
                <w:szCs w:val="21"/>
              </w:rPr>
            </w:pPr>
            <w:r>
              <w:rPr>
                <w:rFonts w:hint="eastAsia" w:ascii="宋体" w:hAnsi="宋体" w:cs="Times New Roman"/>
                <w:b/>
                <w:sz w:val="21"/>
                <w:szCs w:val="21"/>
              </w:rPr>
              <w:t>2.（上次审核后）重大事故、顾客/相关方投诉：</w:t>
            </w:r>
          </w:p>
          <w:p>
            <w:pPr>
              <w:spacing w:line="240" w:lineRule="exact"/>
              <w:rPr>
                <w:rFonts w:hint="eastAsia" w:ascii="宋体" w:hAnsi="宋体" w:cs="Times New Roman"/>
                <w:b/>
                <w:sz w:val="21"/>
                <w:szCs w:val="21"/>
              </w:rPr>
            </w:pPr>
          </w:p>
          <w:p>
            <w:pPr>
              <w:spacing w:line="240" w:lineRule="exact"/>
              <w:rPr>
                <w:rFonts w:hint="eastAsia" w:ascii="宋体" w:hAnsi="宋体" w:cs="Times New Roman"/>
                <w:b/>
                <w:sz w:val="21"/>
                <w:szCs w:val="21"/>
              </w:rPr>
            </w:pPr>
            <w:r>
              <w:rPr>
                <w:rFonts w:hint="eastAsia" w:ascii="宋体" w:hAnsi="宋体" w:cs="Times New Roman"/>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Times New Roman"/>
                <w:b/>
                <w:sz w:val="21"/>
                <w:szCs w:val="21"/>
              </w:rPr>
            </w:pPr>
            <w:r>
              <w:rPr>
                <w:rFonts w:hint="eastAsia" w:ascii="宋体" w:hAnsi="宋体" w:cs="Times New Roman"/>
                <w:b/>
                <w:sz w:val="21"/>
                <w:szCs w:val="21"/>
              </w:rPr>
              <w:t>3. 创新情况</w:t>
            </w:r>
          </w:p>
          <w:p>
            <w:pPr>
              <w:spacing w:line="240" w:lineRule="exact"/>
              <w:rPr>
                <w:rFonts w:hint="eastAsia" w:ascii="宋体" w:hAnsi="宋体" w:cs="Times New Roman"/>
                <w:b/>
                <w:sz w:val="21"/>
                <w:szCs w:val="21"/>
              </w:rPr>
            </w:pPr>
            <w:r>
              <w:rPr>
                <w:rFonts w:hint="eastAsia" w:ascii="宋体" w:hAnsi="宋体" w:cs="Times New Roman"/>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Times New Roman"/>
                <w:b/>
                <w:sz w:val="21"/>
                <w:szCs w:val="21"/>
              </w:rPr>
            </w:pPr>
            <w:r>
              <w:rPr>
                <w:rFonts w:hint="eastAsia" w:ascii="宋体" w:hAnsi="宋体" w:cs="Times New Roman"/>
                <w:b/>
                <w:sz w:val="21"/>
                <w:szCs w:val="21"/>
              </w:rPr>
              <w:t>4. 上次不符合的整改情况</w:t>
            </w:r>
          </w:p>
          <w:p>
            <w:pPr>
              <w:spacing w:line="240" w:lineRule="exact"/>
              <w:rPr>
                <w:rFonts w:hint="eastAsia" w:ascii="宋体" w:hAnsi="宋体" w:cs="Times New Roman"/>
                <w:b/>
                <w:sz w:val="21"/>
                <w:szCs w:val="21"/>
              </w:rPr>
            </w:pPr>
            <w:r>
              <w:rPr>
                <w:rFonts w:hint="eastAsia" w:ascii="宋体" w:hAnsi="宋体" w:cs="Times New Roman"/>
                <w:b/>
                <w:sz w:val="21"/>
                <w:szCs w:val="21"/>
              </w:rPr>
              <w:t>已经整改完结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pPr>
            <w:r>
              <w:rPr>
                <w:rFonts w:hint="eastAsia"/>
                <w:lang w:val="en-US" w:eastAsia="zh-CN"/>
              </w:rPr>
              <w:t>该企业</w:t>
            </w:r>
            <w:r>
              <w:rPr>
                <w:rFonts w:hint="eastAsia"/>
              </w:rPr>
              <w:t>建立并实施的管理体系基本符合标准要求，可能存在的重要风险可以得到有效控制，没有出现过环境和安全事故以及顾客投诉事件发生，体系运行基本有效，初步建立了自我完善和自我改进机制。现场开具的不符合项在规定的期限内采取纠正措施并经审核组书面验证有效后，同意推荐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color w:val="auto"/>
        </w:rPr>
        <w:drawing>
          <wp:anchor distT="0" distB="0" distL="114300" distR="114300" simplePos="0" relativeHeight="251662336" behindDoc="0" locked="0" layoutInCell="1" allowOverlap="1">
            <wp:simplePos x="0" y="0"/>
            <wp:positionH relativeFrom="column">
              <wp:posOffset>1560195</wp:posOffset>
            </wp:positionH>
            <wp:positionV relativeFrom="paragraph">
              <wp:posOffset>307340</wp:posOffset>
            </wp:positionV>
            <wp:extent cx="771525" cy="337820"/>
            <wp:effectExtent l="0" t="0" r="9525" b="508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96000"/>
                    </a:blip>
                    <a:stretch>
                      <a:fillRect/>
                    </a:stretch>
                  </pic:blipFill>
                  <pic:spPr>
                    <a:xfrm>
                      <a:off x="0" y="0"/>
                      <a:ext cx="771525" cy="33782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6029" w:firstLineChars="2860"/>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2020年10月24日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color w:val="auto"/>
        </w:rPr>
        <w:drawing>
          <wp:anchor distT="0" distB="0" distL="114300" distR="114300" simplePos="0" relativeHeight="251667456" behindDoc="0" locked="0" layoutInCell="1" allowOverlap="1">
            <wp:simplePos x="0" y="0"/>
            <wp:positionH relativeFrom="column">
              <wp:posOffset>760095</wp:posOffset>
            </wp:positionH>
            <wp:positionV relativeFrom="paragraph">
              <wp:posOffset>130175</wp:posOffset>
            </wp:positionV>
            <wp:extent cx="771525" cy="337820"/>
            <wp:effectExtent l="0" t="0" r="9525" b="508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lum contrast="96000"/>
                    </a:blip>
                    <a:stretch>
                      <a:fillRect/>
                    </a:stretch>
                  </pic:blipFill>
                  <pic:spPr>
                    <a:xfrm>
                      <a:off x="0" y="0"/>
                      <a:ext cx="771525" cy="33782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2020年10月25日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8"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6370B0"/>
    <w:multiLevelType w:val="singleLevel"/>
    <w:tmpl w:val="E46370B0"/>
    <w:lvl w:ilvl="0" w:tentative="0">
      <w:start w:val="3"/>
      <w:numFmt w:val="decimal"/>
      <w:suff w:val="space"/>
      <w:lvlText w:val="%1."/>
      <w:lvlJc w:val="left"/>
    </w:lvl>
  </w:abstractNum>
  <w:abstractNum w:abstractNumId="1">
    <w:nsid w:val="353AC739"/>
    <w:multiLevelType w:val="singleLevel"/>
    <w:tmpl w:val="353AC739"/>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7763F"/>
    <w:rsid w:val="07386BCD"/>
    <w:rsid w:val="07983CAE"/>
    <w:rsid w:val="07BB33A3"/>
    <w:rsid w:val="0B8B410B"/>
    <w:rsid w:val="0C444463"/>
    <w:rsid w:val="0D4C6BE6"/>
    <w:rsid w:val="0D685537"/>
    <w:rsid w:val="0DAE65C2"/>
    <w:rsid w:val="0E823489"/>
    <w:rsid w:val="0FBE0B0C"/>
    <w:rsid w:val="0FC8678E"/>
    <w:rsid w:val="0FCD60D9"/>
    <w:rsid w:val="10F0047D"/>
    <w:rsid w:val="122F77A1"/>
    <w:rsid w:val="12813E68"/>
    <w:rsid w:val="146237ED"/>
    <w:rsid w:val="158009DC"/>
    <w:rsid w:val="159F4374"/>
    <w:rsid w:val="1665467C"/>
    <w:rsid w:val="16C90D49"/>
    <w:rsid w:val="17597702"/>
    <w:rsid w:val="17817C23"/>
    <w:rsid w:val="178A15F5"/>
    <w:rsid w:val="17C056A4"/>
    <w:rsid w:val="17E555C2"/>
    <w:rsid w:val="18D75B32"/>
    <w:rsid w:val="1BE52164"/>
    <w:rsid w:val="1C275EAE"/>
    <w:rsid w:val="1C2B6322"/>
    <w:rsid w:val="1CFA60F3"/>
    <w:rsid w:val="1D5D7F9F"/>
    <w:rsid w:val="1E821434"/>
    <w:rsid w:val="20B07649"/>
    <w:rsid w:val="212D041B"/>
    <w:rsid w:val="24960F38"/>
    <w:rsid w:val="24CA3953"/>
    <w:rsid w:val="25C020D9"/>
    <w:rsid w:val="26BC2E56"/>
    <w:rsid w:val="27B5413A"/>
    <w:rsid w:val="28EA75E5"/>
    <w:rsid w:val="2956635B"/>
    <w:rsid w:val="2CD6526F"/>
    <w:rsid w:val="2D5C4A76"/>
    <w:rsid w:val="2E223B43"/>
    <w:rsid w:val="32AA457F"/>
    <w:rsid w:val="32D80D5B"/>
    <w:rsid w:val="337F1710"/>
    <w:rsid w:val="34121E6F"/>
    <w:rsid w:val="346132CF"/>
    <w:rsid w:val="35575D98"/>
    <w:rsid w:val="37D34F66"/>
    <w:rsid w:val="382C298F"/>
    <w:rsid w:val="3869343D"/>
    <w:rsid w:val="39891B42"/>
    <w:rsid w:val="3A145638"/>
    <w:rsid w:val="3B2F0E55"/>
    <w:rsid w:val="3DBD4559"/>
    <w:rsid w:val="3E5A21EC"/>
    <w:rsid w:val="3E6C23E6"/>
    <w:rsid w:val="405D1C7E"/>
    <w:rsid w:val="412A05DC"/>
    <w:rsid w:val="41CE4971"/>
    <w:rsid w:val="44323CB2"/>
    <w:rsid w:val="446531DD"/>
    <w:rsid w:val="448B712E"/>
    <w:rsid w:val="44CF064B"/>
    <w:rsid w:val="48746379"/>
    <w:rsid w:val="49AA6D49"/>
    <w:rsid w:val="4A1F5168"/>
    <w:rsid w:val="4A440C3B"/>
    <w:rsid w:val="4BE56D17"/>
    <w:rsid w:val="4BFB0E14"/>
    <w:rsid w:val="4D350BF9"/>
    <w:rsid w:val="4E093FF6"/>
    <w:rsid w:val="4E5C4D65"/>
    <w:rsid w:val="4E6F7FF6"/>
    <w:rsid w:val="4F154A9A"/>
    <w:rsid w:val="4F5C6BDB"/>
    <w:rsid w:val="4F647667"/>
    <w:rsid w:val="514D70A3"/>
    <w:rsid w:val="52CB70B7"/>
    <w:rsid w:val="536E4FD2"/>
    <w:rsid w:val="53FE0F06"/>
    <w:rsid w:val="556658C6"/>
    <w:rsid w:val="55943070"/>
    <w:rsid w:val="56A377B7"/>
    <w:rsid w:val="56BD4CD5"/>
    <w:rsid w:val="5707473F"/>
    <w:rsid w:val="57CD1F5F"/>
    <w:rsid w:val="5964317F"/>
    <w:rsid w:val="597F228B"/>
    <w:rsid w:val="5A6B011D"/>
    <w:rsid w:val="5BC947CB"/>
    <w:rsid w:val="5BE73718"/>
    <w:rsid w:val="5F8C09A5"/>
    <w:rsid w:val="609E4436"/>
    <w:rsid w:val="60A308C9"/>
    <w:rsid w:val="60D1113D"/>
    <w:rsid w:val="60FD573A"/>
    <w:rsid w:val="610D49A9"/>
    <w:rsid w:val="61F125E3"/>
    <w:rsid w:val="628061AB"/>
    <w:rsid w:val="64AF57B1"/>
    <w:rsid w:val="6739120F"/>
    <w:rsid w:val="675A5694"/>
    <w:rsid w:val="68153289"/>
    <w:rsid w:val="69025FF0"/>
    <w:rsid w:val="6A5A5EC3"/>
    <w:rsid w:val="6A6A493C"/>
    <w:rsid w:val="6BA91F5C"/>
    <w:rsid w:val="6DC2040C"/>
    <w:rsid w:val="6E821316"/>
    <w:rsid w:val="6F872E80"/>
    <w:rsid w:val="6FE75655"/>
    <w:rsid w:val="70172AA8"/>
    <w:rsid w:val="701C13E1"/>
    <w:rsid w:val="70946802"/>
    <w:rsid w:val="711B7275"/>
    <w:rsid w:val="71946B36"/>
    <w:rsid w:val="7274458A"/>
    <w:rsid w:val="72D27277"/>
    <w:rsid w:val="74B45C16"/>
    <w:rsid w:val="751E75E9"/>
    <w:rsid w:val="7559332F"/>
    <w:rsid w:val="76994817"/>
    <w:rsid w:val="76C00D8B"/>
    <w:rsid w:val="76ED349B"/>
    <w:rsid w:val="77900BE2"/>
    <w:rsid w:val="77D92494"/>
    <w:rsid w:val="77EC5A4E"/>
    <w:rsid w:val="7AD04ED7"/>
    <w:rsid w:val="7C7E029D"/>
    <w:rsid w:val="7E5A3C33"/>
    <w:rsid w:val="7E8075F0"/>
    <w:rsid w:val="7F0163C3"/>
    <w:rsid w:val="7F5C4E8F"/>
    <w:rsid w:val="7FED1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eastAsiaTheme="minorEastAsia" w:cstheme="minorBidi"/>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2020-10-23T23:12:37Z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