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sz w:val="32"/>
          <w:szCs w:val="32"/>
          <w:u w:val="single"/>
          <w:lang w:eastAsia="zh-CN"/>
        </w:rPr>
      </w:pPr>
      <w:r>
        <w:rPr>
          <w:rFonts w:hint="eastAsia"/>
          <w:sz w:val="32"/>
          <w:szCs w:val="32"/>
        </w:rPr>
        <w:t>合同编号：</w:t>
      </w:r>
      <w:r>
        <w:rPr>
          <w:rFonts w:hint="eastAsia"/>
          <w:sz w:val="32"/>
          <w:szCs w:val="32"/>
          <w:u w:val="single"/>
          <w:lang w:eastAsia="zh-CN"/>
        </w:rPr>
        <w:t>0240-2022-Q+0239-2022-EO</w:t>
      </w: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0" w:name="组织名称"/>
      <w:r>
        <w:rPr>
          <w:sz w:val="28"/>
          <w:szCs w:val="28"/>
        </w:rPr>
        <w:t>成都俊和科技有限公司</w:t>
      </w:r>
      <w:bookmarkEnd w:id="0"/>
    </w:p>
    <w:p>
      <w:pPr>
        <w:rPr>
          <w:sz w:val="28"/>
          <w:szCs w:val="28"/>
        </w:rPr>
      </w:pPr>
    </w:p>
    <w:p>
      <w:pPr>
        <w:rPr>
          <w:sz w:val="28"/>
          <w:szCs w:val="28"/>
        </w:rPr>
      </w:pPr>
      <w:r>
        <w:rPr>
          <w:rFonts w:hint="eastAsia"/>
          <w:sz w:val="28"/>
          <w:szCs w:val="28"/>
        </w:rPr>
        <w:t>审核体系：</w:t>
      </w:r>
    </w:p>
    <w:p>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pPr>
    </w:p>
    <w:p>
      <w:pPr>
        <w:pStyle w:val="12"/>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成都俊和科技有限公司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成都市武侯区二环路西一段100号1幢1单元17层13号</w:t>
            </w:r>
            <w:bookmarkEnd w:id="5"/>
          </w:p>
        </w:tc>
        <w:tc>
          <w:tcPr>
            <w:tcW w:w="1242" w:type="dxa"/>
            <w:vMerge w:val="restart"/>
            <w:vAlign w:val="center"/>
          </w:tcPr>
          <w:p>
            <w:r>
              <w:rPr>
                <w:rFonts w:hint="eastAsia"/>
              </w:rPr>
              <w:t>邮编</w:t>
            </w:r>
          </w:p>
        </w:tc>
        <w:tc>
          <w:tcPr>
            <w:tcW w:w="1771" w:type="dxa"/>
          </w:tcPr>
          <w:p>
            <w:bookmarkStart w:id="6" w:name="注册邮编"/>
            <w:r>
              <w:t>610000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四川省成都市武侯区二环路西一段100号l幢l单元17楼13号</w:t>
            </w:r>
            <w:bookmarkEnd w:id="7"/>
          </w:p>
        </w:tc>
        <w:tc>
          <w:tcPr>
            <w:tcW w:w="1242" w:type="dxa"/>
            <w:vMerge w:val="continue"/>
            <w:vAlign w:val="center"/>
          </w:tcPr>
          <w:p/>
        </w:tc>
        <w:tc>
          <w:tcPr>
            <w:tcW w:w="1771" w:type="dxa"/>
          </w:tcPr>
          <w:p>
            <w:bookmarkStart w:id="8" w:name="办公邮编"/>
            <w:r>
              <w:t>610000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周锡涛</w:t>
            </w:r>
            <w:bookmarkEnd w:id="9"/>
          </w:p>
        </w:tc>
        <w:tc>
          <w:tcPr>
            <w:tcW w:w="1313" w:type="dxa"/>
            <w:vAlign w:val="center"/>
          </w:tcPr>
          <w:p>
            <w:r>
              <w:rPr>
                <w:rFonts w:hint="eastAsia"/>
              </w:rPr>
              <w:t>电话.</w:t>
            </w:r>
          </w:p>
        </w:tc>
        <w:tc>
          <w:tcPr>
            <w:tcW w:w="2180" w:type="dxa"/>
            <w:vAlign w:val="center"/>
          </w:tcPr>
          <w:p>
            <w:bookmarkStart w:id="10" w:name="联系人电话"/>
            <w:r>
              <w:t>18190780651</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周锡涛</w:t>
            </w:r>
            <w:bookmarkEnd w:id="12"/>
          </w:p>
        </w:tc>
        <w:tc>
          <w:tcPr>
            <w:tcW w:w="1313" w:type="dxa"/>
            <w:vAlign w:val="center"/>
          </w:tcPr>
          <w:p>
            <w:r>
              <w:rPr>
                <w:rFonts w:hint="eastAsia"/>
              </w:rPr>
              <w:t>管理者代表</w:t>
            </w:r>
          </w:p>
        </w:tc>
        <w:tc>
          <w:tcPr>
            <w:tcW w:w="2180" w:type="dxa"/>
          </w:tcPr>
          <w:p>
            <w:bookmarkStart w:id="13" w:name="管理者代表"/>
            <w:r>
              <w:t>周锡涛</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确定顾客群体----商务洽谈----签订合同-----采购产品----产品交付----售后服务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2023年03月14日 上午至2023年03月14日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E：机械设备， 电气设备， 柴油发电机组的销售所涉及场所的相关环境管理活动</w:t>
            </w:r>
          </w:p>
          <w:p>
            <w:r>
              <w:t>O：机械设备， 电气设备， 柴油发电机组的销售所涉及场所的相关职业健康安全管理活动</w:t>
            </w:r>
          </w:p>
          <w:p>
            <w:r>
              <w:t>Q：机械设备， 电气设备， 柴油发电机组的销售</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E：29.10.07</w:t>
            </w:r>
          </w:p>
          <w:p>
            <w:r>
              <w:t>O：29.10.07</w:t>
            </w:r>
          </w:p>
          <w:p>
            <w:r>
              <w:t>Q：29.10.07</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2022年3月21日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lang w:val="en-US" w:eastAsia="zh-CN"/>
              </w:rPr>
              <w:t>2025年4月28日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hint="eastAsia" w:ascii="Times New Roman" w:hAnsi="Times New Roman" w:eastAsia="宋体" w:cs="Times New Roman"/>
                <w:kern w:val="2"/>
                <w:sz w:val="18"/>
                <w:szCs w:val="18"/>
                <w:lang w:val="de-DE" w:eastAsia="ja-JP" w:bidi="ar-SA"/>
              </w:rPr>
            </w:pPr>
            <w:r>
              <w:rPr>
                <w:sz w:val="18"/>
                <w:szCs w:val="18"/>
              </w:rPr>
              <w:t>成都俊和科技有限公司</w:t>
            </w:r>
            <w:r>
              <w:rPr>
                <w:rFonts w:hint="eastAsia"/>
                <w:sz w:val="18"/>
                <w:szCs w:val="18"/>
                <w:lang w:val="en-US" w:eastAsia="zh-CN"/>
              </w:rPr>
              <w:t>/</w:t>
            </w:r>
            <w:r>
              <w:rPr>
                <w:rFonts w:asciiTheme="minorEastAsia" w:hAnsiTheme="minorEastAsia" w:eastAsiaTheme="minorEastAsia"/>
                <w:sz w:val="18"/>
                <w:szCs w:val="18"/>
              </w:rPr>
              <w:t>成都市武侯区二环路西一段100号1幢1单元17层13号</w:t>
            </w:r>
          </w:p>
        </w:tc>
        <w:tc>
          <w:tcPr>
            <w:tcW w:w="2267" w:type="dxa"/>
            <w:vAlign w:val="top"/>
          </w:tcPr>
          <w:p>
            <w:pPr>
              <w:rPr>
                <w:rFonts w:ascii="Times New Roman" w:hAnsi="Times New Roman" w:eastAsia="宋体" w:cs="Times New Roman"/>
                <w:kern w:val="2"/>
                <w:sz w:val="18"/>
                <w:szCs w:val="18"/>
                <w:lang w:val="de-DE" w:eastAsia="ja-JP" w:bidi="ar-SA"/>
              </w:rPr>
            </w:pPr>
            <w:r>
              <w:rPr>
                <w:rFonts w:asciiTheme="minorEastAsia" w:hAnsiTheme="minorEastAsia" w:eastAsiaTheme="minorEastAsia"/>
                <w:sz w:val="18"/>
                <w:szCs w:val="18"/>
              </w:rPr>
              <w:t>成都市武侯区二环路西一段100号1幢1单元17层13号</w:t>
            </w:r>
          </w:p>
        </w:tc>
        <w:tc>
          <w:tcPr>
            <w:tcW w:w="571" w:type="dxa"/>
            <w:vAlign w:val="center"/>
          </w:tcPr>
          <w:p>
            <w:pPr>
              <w:rPr>
                <w:rFonts w:hint="default" w:ascii="Times New Roman" w:hAnsi="Times New Roman" w:eastAsia="宋体" w:cs="Times New Roman"/>
                <w:kern w:val="2"/>
                <w:sz w:val="18"/>
                <w:szCs w:val="18"/>
                <w:lang w:val="en-US" w:eastAsia="ja-JP" w:bidi="ar-SA"/>
              </w:rPr>
            </w:pPr>
            <w:r>
              <w:rPr>
                <w:rFonts w:hint="eastAsia"/>
                <w:sz w:val="18"/>
                <w:szCs w:val="18"/>
                <w:lang w:val="en-US" w:eastAsia="zh-CN"/>
              </w:rPr>
              <w:t>10</w:t>
            </w:r>
          </w:p>
        </w:tc>
        <w:tc>
          <w:tcPr>
            <w:tcW w:w="2803" w:type="dxa"/>
            <w:vAlign w:val="center"/>
          </w:tcPr>
          <w:p>
            <w:pPr>
              <w:rPr>
                <w:rFonts w:ascii="Times New Roman" w:hAnsi="Times New Roman" w:eastAsia="宋体" w:cs="Times New Roman"/>
                <w:sz w:val="20"/>
              </w:rPr>
            </w:pPr>
            <w:r>
              <w:rPr>
                <w:rFonts w:hint="eastAsia" w:ascii="Times New Roman" w:hAnsi="Times New Roman" w:eastAsia="宋体" w:cs="Times New Roman"/>
                <w:sz w:val="20"/>
                <w:lang w:val="en-US" w:eastAsia="zh-CN"/>
              </w:rPr>
              <w:t>Q：</w:t>
            </w:r>
            <w:r>
              <w:rPr>
                <w:rFonts w:ascii="Times New Roman" w:hAnsi="Times New Roman" w:eastAsia="宋体" w:cs="Times New Roman"/>
                <w:sz w:val="20"/>
              </w:rPr>
              <w:t>机械设备，电气设备，柴油发电机组的销售</w:t>
            </w:r>
          </w:p>
          <w:p>
            <w:pPr>
              <w:rPr>
                <w:rFonts w:ascii="Times New Roman" w:hAnsi="Times New Roman" w:eastAsia="宋体" w:cs="Times New Roman"/>
                <w:sz w:val="20"/>
              </w:rPr>
            </w:pPr>
            <w:r>
              <w:rPr>
                <w:rFonts w:ascii="Times New Roman" w:hAnsi="Times New Roman" w:eastAsia="宋体" w:cs="Times New Roman"/>
                <w:sz w:val="20"/>
              </w:rPr>
              <w:t>E：机械设备， 电气设备， 柴油发电机组的销售所涉及场所的相关环境管理活动</w:t>
            </w:r>
          </w:p>
          <w:p>
            <w:pPr>
              <w:rPr>
                <w:rFonts w:ascii="Times New Roman" w:hAnsi="Times New Roman" w:eastAsia="宋体" w:cs="Times New Roman"/>
                <w:sz w:val="20"/>
              </w:rPr>
            </w:pPr>
            <w:r>
              <w:rPr>
                <w:rFonts w:ascii="Times New Roman" w:hAnsi="Times New Roman" w:eastAsia="宋体" w:cs="Times New Roman"/>
                <w:sz w:val="20"/>
              </w:rPr>
              <w:t>O：机械设备， 电气设备， 柴油发电机组的销售所涉及场所的相关职业健康安全管理活动</w:t>
            </w:r>
          </w:p>
          <w:p>
            <w:pPr>
              <w:rPr>
                <w:rFonts w:ascii="Times New Roman" w:hAnsi="Times New Roman" w:eastAsia="宋体" w:cs="Times New Roman"/>
                <w:sz w:val="20"/>
                <w:lang w:val="en-US" w:eastAsia="ja-JP"/>
              </w:rPr>
            </w:pPr>
          </w:p>
        </w:tc>
        <w:tc>
          <w:tcPr>
            <w:tcW w:w="669" w:type="dxa"/>
            <w:vAlign w:val="center"/>
          </w:tcPr>
          <w:p>
            <w:pPr>
              <w:rPr>
                <w:rFonts w:hint="eastAsia"/>
                <w:lang w:eastAsia="ja-JP"/>
              </w:rPr>
            </w:pPr>
            <w:r>
              <w:rPr>
                <w:rFonts w:hint="eastAsia"/>
                <w:lang w:eastAsia="ja-JP"/>
              </w:rPr>
              <w:t>ISO 9001:2015</w:t>
            </w:r>
          </w:p>
          <w:p>
            <w:pPr>
              <w:pStyle w:val="12"/>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ISO 14001:2015</w:t>
            </w:r>
          </w:p>
          <w:p>
            <w:pPr>
              <w:pStyle w:val="12"/>
              <w:rPr>
                <w:rFonts w:hint="eastAsia" w:ascii="Times New Roman" w:hAnsi="Times New Roman" w:eastAsia="宋体" w:cs="Times New Roman"/>
                <w:sz w:val="18"/>
                <w:szCs w:val="18"/>
                <w:lang w:val="en-US" w:eastAsia="ja-JP"/>
              </w:rPr>
            </w:pPr>
            <w:r>
              <w:rPr>
                <w:rFonts w:hint="eastAsia" w:ascii="Times New Roman" w:hAnsi="Times New Roman" w:eastAsia="宋体" w:cs="Times New Roman"/>
                <w:sz w:val="18"/>
                <w:szCs w:val="18"/>
              </w:rPr>
              <w:t>ISO45001：20</w:t>
            </w:r>
            <w:r>
              <w:rPr>
                <w:rFonts w:hint="eastAsia" w:ascii="Times New Roman" w:hAnsi="Times New Roman" w:eastAsia="宋体" w:cs="Times New Roman"/>
                <w:sz w:val="18"/>
                <w:szCs w:val="18"/>
                <w:lang w:val="en-US" w:eastAsia="zh-CN"/>
              </w:rPr>
              <w:t>18</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ascii="黑体" w:hAnsi="黑体" w:eastAsia="黑体" w:cs="黑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2020-N1EMS-1262293</w:t>
            </w:r>
          </w:p>
          <w:p>
            <w:r>
              <w:t>2021-N1OHSMS-1262293</w:t>
            </w:r>
          </w:p>
          <w:p>
            <w:r>
              <w:t>2020-N1QMS-1262293</w:t>
            </w:r>
          </w:p>
        </w:tc>
        <w:tc>
          <w:tcPr>
            <w:tcW w:w="2179" w:type="dxa"/>
            <w:vAlign w:val="center"/>
          </w:tcPr>
          <w:p>
            <w:r>
              <w:t>E:29.10.07</w:t>
            </w:r>
          </w:p>
          <w:p>
            <w:r>
              <w:t>O:29.10.07</w:t>
            </w:r>
          </w:p>
          <w:p>
            <w:r>
              <w:t>Q:29.10.07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sz w:val="20"/>
                <w:lang w:val="en-US" w:eastAsia="zh-CN"/>
              </w:rPr>
              <w:t>由</w:t>
            </w:r>
            <w:r>
              <w:rPr>
                <w:sz w:val="18"/>
                <w:szCs w:val="18"/>
              </w:rPr>
              <w:t>机械设备，电气设备，柴油发电机组，化工产品（许可范围内危险化学品）的销售</w:t>
            </w:r>
            <w:r>
              <w:rPr>
                <w:rFonts w:hint="eastAsia"/>
                <w:sz w:val="18"/>
                <w:szCs w:val="18"/>
                <w:lang w:eastAsia="zh-CN"/>
              </w:rPr>
              <w:t>，</w:t>
            </w:r>
            <w:r>
              <w:rPr>
                <w:rFonts w:hint="eastAsia"/>
                <w:sz w:val="20"/>
                <w:lang w:val="en-US" w:eastAsia="zh-CN"/>
              </w:rPr>
              <w:t>变更为</w:t>
            </w:r>
            <w:r>
              <w:rPr>
                <w:sz w:val="20"/>
              </w:rPr>
              <w:t>机械设备， 电气设备， 柴油发电机组的销售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机械设备， 电气设备， 柴油发电机组的销售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机械设备， 电气设备， 柴油发电机组的销售所涉及场所的相关环境管理活动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机械设备， 电气设备， 柴油发电机组的销售所涉及场所的相关职业健康安全管理活动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default" w:eastAsia="宋体"/>
                <w:lang w:val="en-US" w:eastAsia="zh-CN"/>
              </w:rPr>
            </w:pPr>
            <w:r>
              <w:rPr>
                <w:rFonts w:hint="eastAsia"/>
                <w:lang w:val="en-US" w:eastAsia="zh-CN"/>
              </w:rPr>
              <w:t>余家龙</w:t>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2023年3月15日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价值观□文化□知识□绩效□工艺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最高管理者制定了文件化的管理体系方针：精益求精 创“俊和”新优势</w:t>
            </w:r>
          </w:p>
          <w:p>
            <w:pPr>
              <w:shd w:val="clear" w:color="auto" w:fill="C7DAF1" w:themeFill="text2" w:themeFillTint="32"/>
              <w:rPr>
                <w:u w:val="single"/>
              </w:rPr>
            </w:pP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行政部</w:t>
            </w:r>
          </w:p>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GB" w:eastAsia="zh-CN"/>
                    </w:rPr>
                    <w:t>销售服务项目按约完成合格率100%</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highlight w:val="none"/>
                      <w:lang w:val="en-GB" w:eastAsia="zh-CN" w:bidi="ar-SA"/>
                    </w:rPr>
                  </w:pPr>
                  <w:r>
                    <w:rPr>
                      <w:rFonts w:hint="eastAsia"/>
                      <w:highlight w:val="none"/>
                      <w:lang w:val="en-GB" w:eastAsia="zh-CN"/>
                    </w:rPr>
                    <w:t>合格数/服务总数*100%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highlight w:val="none"/>
                      <w:lang w:val="en-GB" w:eastAsia="zh-CN" w:bidi="ar-SA"/>
                    </w:rPr>
                  </w:pPr>
                  <w:r>
                    <w:rPr>
                      <w:rFonts w:hint="eastAsia"/>
                      <w:highlight w:val="none"/>
                      <w:lang w:val="en-GB" w:eastAsia="zh-CN"/>
                    </w:rPr>
                    <w:t>供销部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highlight w:val="none"/>
                      <w:lang w:val="en-GB" w:eastAsia="zh-CN" w:bidi="ar-SA"/>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GB" w:eastAsia="zh-CN"/>
                    </w:rPr>
                    <w:t>顾客满意度得分≥90分</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GB" w:eastAsia="zh-CN"/>
                    </w:rPr>
                    <w:t>满意得分和/总调查数</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highlight w:val="none"/>
                      <w:lang w:val="en-US" w:eastAsia="zh-CN" w:bidi="ar-SA"/>
                    </w:rPr>
                  </w:pPr>
                  <w:r>
                    <w:rPr>
                      <w:rFonts w:hint="eastAsia" w:ascii="宋体" w:hAnsi="宋体"/>
                      <w:highlight w:val="none"/>
                      <w:lang w:eastAsia="zh-CN"/>
                    </w:rPr>
                    <w:t>供销部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97分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highlight w:val="yellow"/>
                      <w:lang w:val="en-US" w:eastAsia="zh-CN" w:bidi="ar-SA"/>
                    </w:rPr>
                  </w:pP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highlight w:val="yellow"/>
                      <w:lang w:val="en-US" w:eastAsia="zh-CN" w:bidi="ar-SA"/>
                    </w:rPr>
                  </w:pP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highlight w:val="none"/>
                <w:lang w:eastAsia="zh-CN"/>
              </w:rPr>
              <w:t>建筑面积150平方米</w:t>
            </w:r>
            <w:r>
              <w:rPr>
                <w:rFonts w:hint="eastAsia"/>
              </w:rPr>
              <w:t>；生产车间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u w:val="single"/>
              </w:rPr>
              <w:t>（电脑、打印机、空调）</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rFonts w:ascii="Times New Roman" w:hAnsi="Times New Roman" w:eastAsia="宋体" w:cs="Times New Roman"/>
                <w:kern w:val="2"/>
                <w:sz w:val="21"/>
                <w:szCs w:val="24"/>
                <w:u w:val="single"/>
                <w:lang w:val="en-US" w:eastAsia="zh-CN" w:bidi="ar-SA"/>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无</w:t>
            </w:r>
            <w:r>
              <w:rPr>
                <w:rFonts w:hint="eastAsia"/>
                <w:lang w:eastAsia="zh-CN"/>
              </w:rPr>
              <w:t>）</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rPr>
                    <w:t>机械设备，电气设备，柴油发电机组</w:t>
                  </w:r>
                  <w:r>
                    <w:rPr>
                      <w:rFonts w:hint="eastAsia"/>
                      <w:lang w:val="en-US" w:eastAsia="zh-CN"/>
                    </w:rPr>
                    <w:t>销售</w:t>
                  </w:r>
                </w:p>
              </w:tc>
              <w:tc>
                <w:tcPr>
                  <w:tcW w:w="3665" w:type="dxa"/>
                </w:tcPr>
                <w:p>
                  <w:pPr>
                    <w:shd w:val="clear" w:color="auto" w:fill="C7DAF1" w:themeFill="text2" w:themeFillTint="32"/>
                    <w:jc w:val="left"/>
                    <w:rPr>
                      <w:rFonts w:hint="eastAsia" w:eastAsia="宋体"/>
                      <w:lang w:eastAsia="zh-CN"/>
                    </w:rPr>
                  </w:pPr>
                  <w:r>
                    <w:rPr>
                      <w:rFonts w:hint="eastAsia"/>
                      <w:lang w:eastAsia="zh-CN"/>
                    </w:rPr>
                    <w:t>销售过程</w:t>
                  </w:r>
                </w:p>
              </w:tc>
              <w:tc>
                <w:tcPr>
                  <w:tcW w:w="3265" w:type="dxa"/>
                </w:tcPr>
                <w:p>
                  <w:pPr>
                    <w:shd w:val="clear" w:color="auto" w:fill="C7DAF1" w:themeFill="text2" w:themeFillTint="32"/>
                    <w:jc w:val="left"/>
                    <w:rPr>
                      <w:rFonts w:hint="eastAsia" w:eastAsia="宋体"/>
                      <w:lang w:eastAsia="zh-CN"/>
                    </w:rPr>
                  </w:pPr>
                  <w:r>
                    <w:rPr>
                      <w:rFonts w:hint="eastAsia"/>
                      <w:lang w:eastAsia="zh-CN"/>
                    </w:rPr>
                    <w:t>产品质量、顾客满意度等</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销售过程</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w:t>
            </w:r>
            <w:r>
              <w:rPr>
                <w:rFonts w:hint="eastAsia"/>
                <w:lang w:val="en-US" w:eastAsia="zh-CN"/>
              </w:rPr>
              <w:t>3</w:t>
            </w:r>
            <w:r>
              <w:rPr>
                <w:rFonts w:hint="eastAsia"/>
              </w:rPr>
              <w:t>年1月</w:t>
            </w:r>
            <w:r>
              <w:rPr>
                <w:rFonts w:hint="eastAsia"/>
                <w:lang w:val="en-US" w:eastAsia="zh-CN"/>
              </w:rPr>
              <w:t>4</w:t>
            </w:r>
            <w:r>
              <w:rPr>
                <w:rFonts w:hint="eastAsia"/>
              </w:rPr>
              <w:t>日至</w:t>
            </w:r>
            <w:r>
              <w:rPr>
                <w:rFonts w:hint="eastAsia"/>
                <w:lang w:val="en-US" w:eastAsia="zh-CN"/>
              </w:rPr>
              <w:t>5</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最高管理者已按策划的时间间隔，在202</w:t>
            </w:r>
            <w:r>
              <w:rPr>
                <w:rFonts w:hint="eastAsia"/>
                <w:lang w:val="en-US" w:eastAsia="zh-CN"/>
              </w:rPr>
              <w:t>3</w:t>
            </w:r>
            <w:r>
              <w:rPr>
                <w:rFonts w:hint="eastAsia"/>
              </w:rPr>
              <w:t>年2月</w:t>
            </w:r>
            <w:r>
              <w:rPr>
                <w:rFonts w:hint="eastAsia"/>
                <w:lang w:val="en-US" w:eastAsia="zh-CN"/>
              </w:rPr>
              <w:t>10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市场□文化□社会□经济环境</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价值观□文化□知识□绩效□工艺□设备</w:t>
                  </w:r>
                  <w:r>
                    <w:rPr>
                      <w:rFonts w:hint="eastAsia"/>
                      <w:lang w:eastAsia="zh-CN"/>
                    </w:rPr>
                    <w:t>☑</w:t>
                  </w:r>
                  <w:r>
                    <w:rPr>
                      <w:rFonts w:hint="eastAsia"/>
                    </w:rPr>
                    <w:t>人员能力</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最高管理者制定了文件化的管理体系方针：坚持走可持续发展之路，倡导绿色环保思想，遵守法律法规，从产品销售到服务的全过程中，实行污染预防和持续改进</w:t>
            </w:r>
          </w:p>
          <w:p>
            <w:pPr>
              <w:shd w:val="clear" w:color="auto" w:fill="EBF1DE" w:themeFill="accent3" w:themeFillTint="32"/>
              <w:rPr>
                <w:u w:val="single"/>
              </w:rPr>
            </w:pP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行政部</w:t>
            </w:r>
          </w:p>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vAlign w:val="top"/>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7"/>
              <w:gridCol w:w="435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pPr>
                    <w:shd w:val="clear" w:color="auto" w:fill="EBF1DE" w:themeFill="accent3" w:themeFillTint="32"/>
                  </w:pPr>
                  <w:r>
                    <w:rPr>
                      <w:rFonts w:hint="eastAsia"/>
                    </w:rPr>
                    <w:t>主要的风险或机遇描述</w:t>
                  </w:r>
                </w:p>
              </w:tc>
              <w:tc>
                <w:tcPr>
                  <w:tcW w:w="435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潜在火灾</w:t>
                  </w:r>
                </w:p>
              </w:tc>
              <w:tc>
                <w:tcPr>
                  <w:tcW w:w="4358"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Align w:val="center"/>
                </w:tcPr>
                <w:p>
                  <w:pPr>
                    <w:shd w:val="clear" w:color="auto" w:fill="EBF1DE" w:themeFill="accent3" w:themeFillTint="32"/>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固废排放</w:t>
                  </w:r>
                </w:p>
              </w:tc>
              <w:tc>
                <w:tcPr>
                  <w:tcW w:w="4358"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ascii="Times New Roman" w:hAnsi="Times New Roman" w:eastAsia="宋体" w:cs="Times New Roman"/>
                <w:kern w:val="2"/>
                <w:sz w:val="21"/>
                <w:szCs w:val="24"/>
                <w:highlight w:val="cyan"/>
                <w:lang w:val="en-US" w:eastAsia="zh-CN" w:bidi="ar-SA"/>
              </w:rPr>
            </w:pPr>
            <w:r>
              <w:rPr>
                <w:rFonts w:hint="eastAsia"/>
                <w:lang w:eastAsia="zh-CN"/>
              </w:rPr>
              <w:t>☑</w:t>
            </w:r>
            <w:r>
              <w:rPr>
                <w:rFonts w:hint="eastAsia"/>
              </w:rPr>
              <w:t>能源消耗</w:t>
            </w:r>
            <w:r>
              <w:rPr>
                <w:rFonts w:hint="eastAsia"/>
                <w:lang w:eastAsia="zh-CN"/>
              </w:rPr>
              <w:t>☑</w:t>
            </w:r>
            <w:r>
              <w:rPr>
                <w:rFonts w:hint="eastAsia"/>
              </w:rPr>
              <w:t>资源消耗□废水排放□废气排放□粉尘排放□危废排放□噪声排放□危化品泄露□压力容器爆炸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lang w:eastAsia="zh-CN"/>
              </w:rPr>
              <w:t>☑</w:t>
            </w:r>
            <w:r>
              <w:rPr>
                <w:rFonts w:hint="eastAsia"/>
              </w:rPr>
              <w:t>使用节能设备□危化品控制</w:t>
            </w:r>
          </w:p>
          <w:p>
            <w:pPr>
              <w:shd w:val="clear" w:color="auto" w:fill="EBF1DE" w:themeFill="accent3" w:themeFillTint="32"/>
              <w:rPr>
                <w:rFonts w:ascii="Times New Roman" w:hAnsi="Times New Roman" w:eastAsia="宋体" w:cs="Times New Roman"/>
                <w:kern w:val="2"/>
                <w:sz w:val="21"/>
                <w:szCs w:val="24"/>
                <w:highlight w:val="cyan"/>
                <w:lang w:val="en-US" w:eastAsia="zh-CN" w:bidi="ar-SA"/>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451"/>
              <w:gridCol w:w="1245"/>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环境目标</w:t>
                  </w:r>
                </w:p>
              </w:tc>
              <w:tc>
                <w:tcPr>
                  <w:tcW w:w="3451"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245"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56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固废综合处理率100%</w:t>
                  </w:r>
                </w:p>
              </w:tc>
              <w:tc>
                <w:tcPr>
                  <w:tcW w:w="3451"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GB" w:eastAsia="zh-CN" w:bidi="ar-SA"/>
                    </w:rPr>
                  </w:pPr>
                  <w:r>
                    <w:rPr>
                      <w:rFonts w:hint="eastAsia" w:ascii="宋体" w:hAnsi="宋体" w:eastAsia="宋体" w:cs="Times New Roman"/>
                      <w:lang w:val="en-US" w:eastAsia="zh-CN"/>
                    </w:rPr>
                    <w:t>采取分类收集、管理方案进行管理</w:t>
                  </w:r>
                </w:p>
              </w:tc>
              <w:tc>
                <w:tcPr>
                  <w:tcW w:w="1245"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GB" w:eastAsia="zh-CN" w:bidi="ar-SA"/>
                    </w:rPr>
                  </w:pPr>
                  <w:r>
                    <w:rPr>
                      <w:rFonts w:hint="eastAsia"/>
                      <w:lang w:val="en-GB" w:eastAsia="zh-CN"/>
                    </w:rPr>
                    <w:t>行政部</w:t>
                  </w:r>
                </w:p>
              </w:tc>
              <w:tc>
                <w:tcPr>
                  <w:tcW w:w="1564" w:type="dxa"/>
                  <w:shd w:val="clear" w:color="auto" w:fill="auto"/>
                  <w:vAlign w:val="center"/>
                </w:tcPr>
                <w:p>
                  <w:pPr>
                    <w:shd w:val="clear" w:color="auto" w:fill="EBF1DE" w:themeFill="accent3" w:themeFillTint="32"/>
                    <w:jc w:val="center"/>
                    <w:rPr>
                      <w:rFonts w:ascii="宋体" w:hAnsi="宋体" w:eastAsia="宋体" w:cs="Times New Roman"/>
                      <w:kern w:val="2"/>
                      <w:sz w:val="21"/>
                      <w:szCs w:val="24"/>
                      <w:lang w:val="en-GB" w:eastAsia="zh-CN" w:bidi="ar-SA"/>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US" w:eastAsia="zh-CN" w:bidi="ar-SA"/>
                    </w:rPr>
                  </w:pPr>
                  <w:r>
                    <w:rPr>
                      <w:rFonts w:hint="eastAsia" w:ascii="宋体" w:hAnsi="宋体" w:eastAsia="宋体" w:cs="Times New Roman"/>
                    </w:rPr>
                    <w:t>火灾事故为0</w:t>
                  </w:r>
                </w:p>
              </w:tc>
              <w:tc>
                <w:tcPr>
                  <w:tcW w:w="3451"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通过管理方案和预案措施、应急演练进行管理</w:t>
                  </w:r>
                </w:p>
              </w:tc>
              <w:tc>
                <w:tcPr>
                  <w:tcW w:w="1245"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lang w:val="en-GB" w:eastAsia="zh-CN"/>
                    </w:rPr>
                    <w:t>行政部</w:t>
                  </w:r>
                </w:p>
              </w:tc>
              <w:tc>
                <w:tcPr>
                  <w:tcW w:w="156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451" w:type="dxa"/>
                  <w:shd w:val="clear" w:color="auto" w:fill="auto"/>
                  <w:vAlign w:val="center"/>
                </w:tcPr>
                <w:p>
                  <w:pPr>
                    <w:shd w:val="clear" w:color="auto" w:fill="EBF1DE" w:themeFill="accent3" w:themeFillTint="32"/>
                    <w:rPr>
                      <w:rFonts w:ascii="宋体" w:hAnsi="宋体"/>
                    </w:rPr>
                  </w:pPr>
                </w:p>
              </w:tc>
              <w:tc>
                <w:tcPr>
                  <w:tcW w:w="1245" w:type="dxa"/>
                  <w:shd w:val="clear" w:color="auto" w:fill="auto"/>
                  <w:vAlign w:val="center"/>
                </w:tcPr>
                <w:p>
                  <w:pPr>
                    <w:shd w:val="clear" w:color="auto" w:fill="EBF1DE" w:themeFill="accent3" w:themeFillTint="32"/>
                    <w:rPr>
                      <w:rFonts w:ascii="宋体" w:hAnsi="宋体"/>
                    </w:rPr>
                  </w:pPr>
                </w:p>
              </w:tc>
              <w:tc>
                <w:tcPr>
                  <w:tcW w:w="156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451" w:type="dxa"/>
                  <w:shd w:val="clear" w:color="auto" w:fill="auto"/>
                  <w:vAlign w:val="center"/>
                </w:tcPr>
                <w:p>
                  <w:pPr>
                    <w:shd w:val="clear" w:color="auto" w:fill="EBF1DE" w:themeFill="accent3" w:themeFillTint="32"/>
                    <w:rPr>
                      <w:rFonts w:ascii="宋体" w:hAnsi="宋体"/>
                    </w:rPr>
                  </w:pPr>
                </w:p>
              </w:tc>
              <w:tc>
                <w:tcPr>
                  <w:tcW w:w="1245" w:type="dxa"/>
                  <w:shd w:val="clear" w:color="auto" w:fill="auto"/>
                  <w:vAlign w:val="center"/>
                </w:tcPr>
                <w:p>
                  <w:pPr>
                    <w:shd w:val="clear" w:color="auto" w:fill="EBF1DE" w:themeFill="accent3" w:themeFillTint="32"/>
                    <w:rPr>
                      <w:rFonts w:ascii="宋体" w:hAnsi="宋体"/>
                    </w:rPr>
                  </w:pPr>
                </w:p>
              </w:tc>
              <w:tc>
                <w:tcPr>
                  <w:tcW w:w="156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451" w:type="dxa"/>
                  <w:shd w:val="clear" w:color="auto" w:fill="auto"/>
                  <w:vAlign w:val="center"/>
                </w:tcPr>
                <w:p>
                  <w:pPr>
                    <w:shd w:val="clear" w:color="auto" w:fill="EBF1DE" w:themeFill="accent3" w:themeFillTint="32"/>
                    <w:rPr>
                      <w:rFonts w:ascii="宋体" w:hAnsi="宋体"/>
                    </w:rPr>
                  </w:pPr>
                </w:p>
              </w:tc>
              <w:tc>
                <w:tcPr>
                  <w:tcW w:w="1245" w:type="dxa"/>
                  <w:shd w:val="clear" w:color="auto" w:fill="auto"/>
                  <w:vAlign w:val="center"/>
                </w:tcPr>
                <w:p>
                  <w:pPr>
                    <w:shd w:val="clear" w:color="auto" w:fill="EBF1DE" w:themeFill="accent3" w:themeFillTint="32"/>
                    <w:rPr>
                      <w:rFonts w:ascii="宋体" w:hAnsi="宋体"/>
                    </w:rPr>
                  </w:pPr>
                </w:p>
              </w:tc>
              <w:tc>
                <w:tcPr>
                  <w:tcW w:w="156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lang w:eastAsia="zh-CN"/>
              </w:rPr>
              <w:t>建筑面积150平方米</w:t>
            </w:r>
            <w:r>
              <w:rPr>
                <w:rFonts w:hint="eastAsia"/>
              </w:rPr>
              <w:t>；生产车间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（电脑、打印机、空调）</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rFonts w:ascii="Times New Roman" w:hAnsi="Times New Roman" w:eastAsia="宋体" w:cs="Times New Roman"/>
                <w:kern w:val="2"/>
                <w:sz w:val="21"/>
                <w:szCs w:val="24"/>
                <w:u w:val="single"/>
                <w:lang w:val="en-US" w:eastAsia="zh-CN" w:bidi="ar-SA"/>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455"/>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4455" w:type="dxa"/>
                </w:tcPr>
                <w:p>
                  <w:pPr>
                    <w:shd w:val="clear" w:color="auto" w:fill="EBF1DE" w:themeFill="accent3" w:themeFillTint="32"/>
                    <w:jc w:val="left"/>
                  </w:pPr>
                  <w:r>
                    <w:rPr>
                      <w:rFonts w:hint="eastAsia"/>
                    </w:rPr>
                    <w:t>控制措施</w:t>
                  </w:r>
                </w:p>
              </w:tc>
              <w:tc>
                <w:tcPr>
                  <w:tcW w:w="247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4455" w:type="dxa"/>
                </w:tcPr>
                <w:p>
                  <w:pPr>
                    <w:shd w:val="clear" w:color="auto" w:fill="EBF1DE" w:themeFill="accent3" w:themeFillTint="32"/>
                    <w:jc w:val="left"/>
                  </w:pPr>
                </w:p>
              </w:tc>
              <w:tc>
                <w:tcPr>
                  <w:tcW w:w="247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4455" w:type="dxa"/>
                </w:tcPr>
                <w:p>
                  <w:pPr>
                    <w:shd w:val="clear" w:color="auto" w:fill="EBF1DE" w:themeFill="accent3" w:themeFillTint="32"/>
                    <w:jc w:val="left"/>
                  </w:pPr>
                </w:p>
              </w:tc>
              <w:tc>
                <w:tcPr>
                  <w:tcW w:w="247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4455" w:type="dxa"/>
                </w:tcPr>
                <w:p>
                  <w:pPr>
                    <w:shd w:val="clear" w:color="auto" w:fill="EBF1DE" w:themeFill="accent3" w:themeFillTint="32"/>
                    <w:jc w:val="left"/>
                  </w:pPr>
                </w:p>
              </w:tc>
              <w:tc>
                <w:tcPr>
                  <w:tcW w:w="247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4455" w:type="dxa"/>
                </w:tcPr>
                <w:p>
                  <w:pPr>
                    <w:shd w:val="clear" w:color="auto" w:fill="EBF1DE" w:themeFill="accent3" w:themeFillTint="32"/>
                    <w:jc w:val="left"/>
                  </w:pPr>
                </w:p>
              </w:tc>
              <w:tc>
                <w:tcPr>
                  <w:tcW w:w="247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4455" w:type="dxa"/>
                </w:tcPr>
                <w:p>
                  <w:pPr>
                    <w:shd w:val="clear" w:color="auto" w:fill="EBF1DE" w:themeFill="accent3" w:themeFillTint="32"/>
                    <w:jc w:val="left"/>
                  </w:pPr>
                </w:p>
              </w:tc>
              <w:tc>
                <w:tcPr>
                  <w:tcW w:w="247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445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采取分类收集、管理方案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7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445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247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445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管理方案和预案措施</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应急演练进行</w:t>
                  </w:r>
                  <w:r>
                    <w:rPr>
                      <w:rFonts w:hint="eastAsia" w:ascii="Times New Roman" w:hAnsi="Times New Roman" w:eastAsia="宋体" w:cs="Times New Roman"/>
                    </w:rPr>
                    <w:t>管理</w:t>
                  </w:r>
                </w:p>
              </w:tc>
              <w:tc>
                <w:tcPr>
                  <w:tcW w:w="247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default" w:eastAsia="宋体"/>
                      <w:lang w:val="en-US" w:eastAsia="zh-CN"/>
                    </w:rPr>
                  </w:pPr>
                  <w:r>
                    <w:rPr>
                      <w:rFonts w:hint="eastAsia" w:eastAsia="宋体"/>
                      <w:lang w:val="en-US" w:eastAsia="zh-CN"/>
                    </w:rPr>
                    <w:t>其他</w:t>
                  </w:r>
                </w:p>
              </w:tc>
              <w:tc>
                <w:tcPr>
                  <w:tcW w:w="445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247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bl>
          <w:p>
            <w:pPr>
              <w:shd w:val="clear" w:color="auto" w:fill="EBF1DE" w:themeFill="accent3" w:themeFillTint="32"/>
              <w:jc w:val="left"/>
            </w:pP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highlight w:val="none"/>
                <w:lang w:eastAsia="zh-CN"/>
              </w:rPr>
              <w:t>202</w:t>
            </w:r>
            <w:r>
              <w:rPr>
                <w:rFonts w:hint="eastAsia"/>
                <w:highlight w:val="none"/>
                <w:lang w:val="en-US" w:eastAsia="zh-CN"/>
              </w:rPr>
              <w:t>2</w:t>
            </w:r>
            <w:r>
              <w:rPr>
                <w:rFonts w:hint="eastAsia"/>
                <w:highlight w:val="none"/>
                <w:lang w:eastAsia="zh-CN"/>
              </w:rPr>
              <w:t>年12月</w:t>
            </w:r>
            <w:r>
              <w:rPr>
                <w:rFonts w:hint="eastAsia"/>
                <w:highlight w:val="none"/>
                <w:lang w:val="en-US" w:eastAsia="zh-CN"/>
              </w:rPr>
              <w:t>10</w:t>
            </w:r>
            <w:r>
              <w:rPr>
                <w:rFonts w:hint="eastAsia"/>
                <w:highlight w:val="none"/>
                <w:lang w:eastAsia="zh-CN"/>
              </w:rPr>
              <w:t>日进行了的演练</w:t>
            </w:r>
            <w:r>
              <w:rPr>
                <w:rFonts w:hint="eastAsia"/>
                <w:highlight w:val="none"/>
              </w:rPr>
              <w:t>；</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eastAsia="宋体"/>
                <w:highlight w:val="none"/>
                <w:lang w:eastAsia="zh-CN"/>
              </w:rPr>
            </w:pPr>
            <w:r>
              <w:rPr>
                <w:rFonts w:hint="eastAsia"/>
                <w:highlight w:val="none"/>
                <w:lang w:eastAsia="zh-CN"/>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highlight w:val="none"/>
                <w:lang w:eastAsia="zh-CN"/>
              </w:rPr>
              <w:t>2022年1</w:t>
            </w:r>
            <w:r>
              <w:rPr>
                <w:rFonts w:hint="eastAsia"/>
                <w:highlight w:val="none"/>
                <w:lang w:val="en-US" w:eastAsia="zh-CN"/>
              </w:rPr>
              <w:t>2</w:t>
            </w:r>
            <w:r>
              <w:rPr>
                <w:rFonts w:hint="eastAsia"/>
                <w:highlight w:val="none"/>
                <w:lang w:eastAsia="zh-CN"/>
              </w:rPr>
              <w:t>月</w:t>
            </w:r>
            <w:r>
              <w:rPr>
                <w:rFonts w:hint="eastAsia"/>
                <w:highlight w:val="none"/>
                <w:lang w:val="en-US" w:eastAsia="zh-CN"/>
              </w:rPr>
              <w:t>10</w:t>
            </w:r>
            <w:r>
              <w:rPr>
                <w:rFonts w:hint="eastAsia"/>
                <w:highlight w:val="none"/>
                <w:lang w:eastAsia="zh-CN"/>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w:t>
            </w:r>
            <w:r>
              <w:rPr>
                <w:rFonts w:hint="eastAsia"/>
                <w:lang w:val="en-US" w:eastAsia="zh-CN"/>
              </w:rPr>
              <w:t>3</w:t>
            </w:r>
            <w:r>
              <w:rPr>
                <w:rFonts w:hint="eastAsia"/>
              </w:rPr>
              <w:t>年1月</w:t>
            </w:r>
            <w:r>
              <w:rPr>
                <w:rFonts w:hint="eastAsia"/>
                <w:lang w:val="en-US" w:eastAsia="zh-CN"/>
              </w:rPr>
              <w:t>4</w:t>
            </w:r>
            <w:r>
              <w:rPr>
                <w:rFonts w:hint="eastAsia"/>
              </w:rPr>
              <w:t>日至</w:t>
            </w:r>
            <w:r>
              <w:rPr>
                <w:rFonts w:hint="eastAsia"/>
                <w:lang w:val="en-US" w:eastAsia="zh-CN"/>
              </w:rPr>
              <w:t>5</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最高管理者已按策划的时间间隔，在202</w:t>
            </w:r>
            <w:r>
              <w:rPr>
                <w:rFonts w:hint="eastAsia"/>
                <w:lang w:val="en-US" w:eastAsia="zh-CN"/>
              </w:rPr>
              <w:t>3</w:t>
            </w:r>
            <w:r>
              <w:rPr>
                <w:rFonts w:hint="eastAsia"/>
              </w:rPr>
              <w:t>年2月</w:t>
            </w:r>
            <w:r>
              <w:rPr>
                <w:rFonts w:hint="eastAsia"/>
                <w:lang w:val="en-US" w:eastAsia="zh-CN"/>
              </w:rPr>
              <w:t>10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79" w:type="dxa"/>
            <w:shd w:val="clear" w:color="auto" w:fill="EBF1DE" w:themeFill="accent3" w:themeFillTint="32"/>
            <w:vAlign w:val="top"/>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79" w:type="dxa"/>
            <w:shd w:val="clear" w:color="auto" w:fill="EBF1DE" w:themeFill="accent3" w:themeFillTint="32"/>
            <w:vAlign w:val="top"/>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OHS</w:t>
            </w:r>
            <w:r>
              <w:rPr>
                <w:rFonts w:hint="eastAsia"/>
              </w:rPr>
              <w:t>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rPr>
                      <w:rFonts w:ascii="Times New Roman" w:hAnsi="Times New Roman" w:eastAsia="宋体" w:cs="Times New Roman"/>
                      <w:kern w:val="2"/>
                      <w:sz w:val="21"/>
                      <w:szCs w:val="24"/>
                      <w:lang w:val="en-US" w:eastAsia="zh-CN" w:bidi="ar-SA"/>
                    </w:rPr>
                  </w:pPr>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法律法规□技术□竞争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rPr>
                      <w:rFonts w:ascii="Times New Roman" w:hAnsi="Times New Roman" w:eastAsia="宋体" w:cs="Times New Roman"/>
                      <w:kern w:val="2"/>
                      <w:sz w:val="21"/>
                      <w:szCs w:val="24"/>
                      <w:lang w:val="en-US" w:eastAsia="zh-CN" w:bidi="ar-SA"/>
                    </w:rPr>
                  </w:pPr>
                  <w:r>
                    <w:rPr>
                      <w:rFonts w:hint="eastAsia"/>
                    </w:rPr>
                    <w:t>内部环境</w:t>
                  </w:r>
                </w:p>
              </w:tc>
              <w:tc>
                <w:tcPr>
                  <w:tcW w:w="7375" w:type="dxa"/>
                  <w:vAlign w:val="top"/>
                </w:tcPr>
                <w:p>
                  <w:r>
                    <w:rPr>
                      <w:rFonts w:hint="eastAsia"/>
                      <w:lang w:eastAsia="zh-CN"/>
                    </w:rPr>
                    <w:t>☑</w:t>
                  </w:r>
                  <w:r>
                    <w:rPr>
                      <w:rFonts w:hint="eastAsia"/>
                    </w:rPr>
                    <w:t>认知□价值观□文化□知识□绩效□工艺□设备</w:t>
                  </w:r>
                  <w:r>
                    <w:rPr>
                      <w:rFonts w:hint="eastAsia"/>
                      <w:lang w:eastAsia="zh-CN"/>
                    </w:rPr>
                    <w:t>☑</w:t>
                  </w:r>
                  <w:r>
                    <w:rPr>
                      <w:rFonts w:hint="eastAsia"/>
                    </w:rPr>
                    <w:t>人员能力</w:t>
                  </w:r>
                </w:p>
                <w:p>
                  <w:pPr>
                    <w:rPr>
                      <w:rFonts w:ascii="Times New Roman" w:hAnsi="Times New Roman" w:eastAsia="宋体" w:cs="Times New Roman"/>
                      <w:kern w:val="2"/>
                      <w:sz w:val="21"/>
                      <w:szCs w:val="24"/>
                      <w:lang w:val="en-US" w:eastAsia="zh-CN" w:bidi="ar-SA"/>
                    </w:rPr>
                  </w:pP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w:t>
            </w:r>
            <w:r>
              <w:rPr>
                <w:rFonts w:hint="eastAsia"/>
              </w:rPr>
              <w:sym w:font="Wingdings 2" w:char="0052"/>
            </w:r>
            <w:r>
              <w:rPr>
                <w:rFonts w:hint="eastAsia"/>
              </w:rPr>
              <w:t>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vAlign w:val="top"/>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最高管理者制定了文件化的职业健康安全管理体系方针：保障健康、安全销售、以人为本、永续发展、遵守法规、持续改进</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pPr>
              <w:rPr>
                <w:rFonts w:ascii="Times New Roman" w:hAnsi="Times New Roman" w:eastAsia="宋体" w:cs="Times New Roman"/>
                <w:kern w:val="2"/>
                <w:sz w:val="21"/>
                <w:szCs w:val="24"/>
                <w:lang w:val="en-US" w:eastAsia="zh-CN" w:bidi="ar-SA"/>
              </w:rPr>
            </w:pPr>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pPr>
              <w:rPr>
                <w:rFonts w:hint="eastAsia" w:ascii="Times New Roman" w:hAnsi="Times New Roman" w:eastAsia="宋体" w:cs="Times New Roman"/>
                <w:kern w:val="2"/>
                <w:sz w:val="21"/>
                <w:szCs w:val="24"/>
                <w:lang w:val="en-US" w:eastAsia="zh-CN" w:bidi="ar-SA"/>
              </w:rPr>
            </w:pPr>
            <w:r>
              <w:rPr>
                <w:rFonts w:hint="eastAsia"/>
              </w:rPr>
              <w:t>安全的主管部门是——</w:t>
            </w:r>
            <w:r>
              <w:rPr>
                <w:rFonts w:hint="eastAsia"/>
                <w:lang w:eastAsia="zh-CN"/>
              </w:rPr>
              <w:t>供销部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组织建立了参与和协商的机制，由所有相关层次和职能部门的员工和员工代表参与（包括协商）建立、策划、实施、评价和改进职业健康安全管理体系。</w:t>
            </w:r>
          </w:p>
          <w:p/>
          <w:p>
            <w:pPr>
              <w:rPr>
                <w:rFonts w:ascii="Times New Roman" w:hAnsi="Times New Roman" w:eastAsia="宋体" w:cs="Times New Roman"/>
                <w:kern w:val="2"/>
                <w:sz w:val="21"/>
                <w:szCs w:val="24"/>
                <w:lang w:val="en-US" w:eastAsia="zh-CN" w:bidi="ar-SA"/>
              </w:rPr>
            </w:pPr>
            <w:r>
              <w:rPr>
                <w:rFonts w:hint="eastAsia"/>
              </w:rPr>
              <w:t>员工代表是——汪勤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vAlign w:val="top"/>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437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tcPr>
                <w:p>
                  <w:r>
                    <w:rPr>
                      <w:rFonts w:hint="eastAsia"/>
                    </w:rPr>
                    <w:t>主要的风险或机遇描述</w:t>
                  </w:r>
                </w:p>
              </w:tc>
              <w:tc>
                <w:tcPr>
                  <w:tcW w:w="4372"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rPr>
                    <w:t>火灾</w:t>
                  </w:r>
                </w:p>
              </w:tc>
              <w:tc>
                <w:tcPr>
                  <w:tcW w:w="4372"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pPr>
                    <w:jc w:val="left"/>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rPr>
                    <w:t>触电</w:t>
                  </w:r>
                </w:p>
              </w:tc>
              <w:tc>
                <w:tcPr>
                  <w:tcW w:w="4372"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pPr>
                    <w:jc w:val="left"/>
                    <w:rPr>
                      <w:rFonts w:hint="eastAsia" w:ascii="宋体" w:hAnsi="宋体"/>
                      <w:b w:val="0"/>
                      <w:bCs w:val="0"/>
                      <w:color w:val="000000"/>
                      <w:sz w:val="21"/>
                      <w:szCs w:val="21"/>
                    </w:rPr>
                  </w:pPr>
                </w:p>
              </w:tc>
              <w:tc>
                <w:tcPr>
                  <w:tcW w:w="4372" w:type="dxa"/>
                  <w:vAlign w:val="top"/>
                </w:tcPr>
                <w:p>
                  <w:pPr>
                    <w:rPr>
                      <w:rFonts w:hint="eastAsia" w:ascii="Times New Roman" w:hAnsi="Times New Roman" w:eastAsia="宋体" w:cs="Times New Roman"/>
                      <w:kern w:val="2"/>
                      <w:sz w:val="21"/>
                      <w:szCs w:val="24"/>
                      <w:highlight w:val="none"/>
                      <w:lang w:val="en-US" w:eastAsia="zh-CN" w:bidi="ar-SA"/>
                    </w:rPr>
                  </w:pP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p>
              </w:tc>
            </w:tr>
          </w:tbl>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ascii="Times New Roman" w:hAnsi="Times New Roman" w:eastAsia="宋体" w:cs="Times New Roman"/>
                <w:kern w:val="2"/>
                <w:sz w:val="21"/>
                <w:szCs w:val="24"/>
                <w:highlight w:val="cyan"/>
                <w:lang w:val="en-US" w:eastAsia="zh-CN" w:bidi="ar-SA"/>
              </w:rPr>
            </w:pP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w:t>
            </w:r>
            <w:r>
              <w:rPr>
                <w:rFonts w:hint="eastAsia"/>
                <w:lang w:eastAsia="zh-CN"/>
              </w:rPr>
              <w:t>□</w:t>
            </w:r>
            <w:r>
              <w:rPr>
                <w:rFonts w:hint="eastAsia"/>
              </w:rPr>
              <w:t>其他</w:t>
            </w:r>
            <w:r>
              <w:rPr>
                <w:rFonts w:hint="eastAsia"/>
                <w:lang w:eastAsia="zh-CN"/>
              </w:rPr>
              <w:t>：危化品中毒、危化品爆炸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rFonts w:ascii="Times New Roman" w:hAnsi="Times New Roman" w:eastAsia="宋体" w:cs="Times New Roman"/>
                <w:kern w:val="2"/>
                <w:sz w:val="21"/>
                <w:szCs w:val="24"/>
                <w:highlight w:val="cyan"/>
                <w:lang w:val="en-US" w:eastAsia="zh-CN" w:bidi="ar-SA"/>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漏电保护□穿戴劳保用品□作业票管理□挂牌上锁管理</w:t>
            </w:r>
          </w:p>
          <w:p>
            <w:pPr>
              <w:rPr>
                <w:rFonts w:ascii="Times New Roman" w:hAnsi="Times New Roman" w:eastAsia="宋体" w:cs="Times New Roman"/>
                <w:kern w:val="2"/>
                <w:sz w:val="21"/>
                <w:szCs w:val="24"/>
                <w:highlight w:val="cyan"/>
                <w:lang w:val="en-US" w:eastAsia="zh-CN" w:bidi="ar-SA"/>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586"/>
              <w:gridCol w:w="1155"/>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highlight w:val="none"/>
                    </w:rPr>
                  </w:pPr>
                  <w:r>
                    <w:rPr>
                      <w:rFonts w:hint="eastAsia"/>
                      <w:highlight w:val="none"/>
                    </w:rPr>
                    <w:t>职业健康安全</w:t>
                  </w:r>
                  <w:r>
                    <w:rPr>
                      <w:rFonts w:hint="eastAsia" w:ascii="宋体" w:hAnsi="宋体"/>
                      <w:highlight w:val="none"/>
                    </w:rPr>
                    <w:t>目标</w:t>
                  </w:r>
                </w:p>
              </w:tc>
              <w:tc>
                <w:tcPr>
                  <w:tcW w:w="3586" w:type="dxa"/>
                  <w:shd w:val="clear" w:color="auto" w:fill="auto"/>
                </w:tcPr>
                <w:p>
                  <w:pPr>
                    <w:rPr>
                      <w:rFonts w:ascii="宋体" w:hAnsi="宋体"/>
                      <w:highlight w:val="none"/>
                    </w:rPr>
                  </w:pPr>
                  <w:r>
                    <w:rPr>
                      <w:rFonts w:hint="eastAsia" w:ascii="宋体" w:hAnsi="宋体"/>
                      <w:highlight w:val="none"/>
                    </w:rPr>
                    <w:t>控制措施</w:t>
                  </w:r>
                </w:p>
              </w:tc>
              <w:tc>
                <w:tcPr>
                  <w:tcW w:w="1155" w:type="dxa"/>
                  <w:shd w:val="clear" w:color="auto" w:fill="auto"/>
                </w:tcPr>
                <w:p>
                  <w:pPr>
                    <w:rPr>
                      <w:rFonts w:ascii="宋体" w:hAnsi="宋体"/>
                      <w:highlight w:val="none"/>
                    </w:rPr>
                  </w:pPr>
                  <w:r>
                    <w:rPr>
                      <w:rFonts w:hint="eastAsia" w:ascii="宋体" w:hAnsi="宋体"/>
                      <w:highlight w:val="none"/>
                    </w:rPr>
                    <w:t>责任部门</w:t>
                  </w:r>
                </w:p>
              </w:tc>
              <w:tc>
                <w:tcPr>
                  <w:tcW w:w="1519" w:type="dxa"/>
                  <w:shd w:val="clear" w:color="auto" w:fill="auto"/>
                </w:tcPr>
                <w:p>
                  <w:pPr>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sz w:val="21"/>
                      <w:szCs w:val="21"/>
                      <w:highlight w:val="none"/>
                      <w:lang w:val="en-US" w:eastAsia="zh-CN"/>
                    </w:rPr>
                    <w:t>重大安全事故和伤亡事故为0</w:t>
                  </w:r>
                </w:p>
              </w:tc>
              <w:tc>
                <w:tcPr>
                  <w:tcW w:w="3586" w:type="dxa"/>
                  <w:shd w:val="clear" w:color="auto" w:fill="auto"/>
                  <w:vAlign w:val="center"/>
                </w:tcPr>
                <w:p>
                  <w:pPr>
                    <w:rPr>
                      <w:rFonts w:ascii="Times New Roman" w:hAnsi="Times New Roman" w:eastAsia="宋体" w:cs="Times New Roman"/>
                      <w:kern w:val="2"/>
                      <w:sz w:val="21"/>
                      <w:szCs w:val="24"/>
                      <w:highlight w:val="none"/>
                      <w:lang w:val="en-GB" w:eastAsia="zh-CN" w:bidi="ar-SA"/>
                    </w:rPr>
                  </w:pPr>
                  <w:r>
                    <w:rPr>
                      <w:rFonts w:hint="eastAsia" w:asciiTheme="minorEastAsia" w:hAnsiTheme="minorEastAsia" w:eastAsiaTheme="minorEastAsia"/>
                      <w:b w:val="0"/>
                      <w:bCs w:val="0"/>
                      <w:sz w:val="21"/>
                      <w:szCs w:val="21"/>
                      <w:highlight w:val="none"/>
                      <w:lang w:val="en-US" w:eastAsia="zh-CN"/>
                    </w:rPr>
                    <w:t>通过管理方案和预案措施、应急演练进行管理</w:t>
                  </w:r>
                </w:p>
              </w:tc>
              <w:tc>
                <w:tcPr>
                  <w:tcW w:w="1155" w:type="dxa"/>
                  <w:shd w:val="clear" w:color="auto" w:fill="auto"/>
                  <w:vAlign w:val="center"/>
                </w:tcPr>
                <w:p>
                  <w:pPr>
                    <w:rPr>
                      <w:rFonts w:hint="eastAsia" w:ascii="Times New Roman" w:hAnsi="Times New Roman" w:eastAsia="宋体" w:cs="Times New Roman"/>
                      <w:kern w:val="2"/>
                      <w:sz w:val="21"/>
                      <w:szCs w:val="24"/>
                      <w:highlight w:val="none"/>
                      <w:lang w:val="en-GB" w:eastAsia="zh-CN" w:bidi="ar-SA"/>
                    </w:rPr>
                  </w:pPr>
                  <w:r>
                    <w:rPr>
                      <w:rFonts w:hint="eastAsia"/>
                      <w:highlight w:val="none"/>
                      <w:lang w:val="en-GB" w:eastAsia="zh-CN"/>
                    </w:rPr>
                    <w:t>供销部</w:t>
                  </w:r>
                </w:p>
              </w:tc>
              <w:tc>
                <w:tcPr>
                  <w:tcW w:w="1519" w:type="dxa"/>
                  <w:shd w:val="clear" w:color="auto" w:fill="auto"/>
                  <w:vAlign w:val="center"/>
                </w:tcPr>
                <w:p>
                  <w:pPr>
                    <w:jc w:val="center"/>
                    <w:rPr>
                      <w:rFonts w:hint="eastAsia" w:ascii="宋体" w:hAnsi="宋体" w:eastAsia="宋体" w:cs="Times New Roman"/>
                      <w:kern w:val="2"/>
                      <w:sz w:val="21"/>
                      <w:szCs w:val="24"/>
                      <w:highlight w:val="none"/>
                      <w:lang w:val="en-GB" w:eastAsia="zh-CN" w:bidi="ar-SA"/>
                    </w:rPr>
                  </w:pPr>
                  <w:r>
                    <w:rPr>
                      <w:rFonts w:hint="eastAsia" w:ascii="宋体" w:hAnsi="宋体"/>
                      <w:highlight w:val="none"/>
                      <w:lang w:val="en-GB"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sz w:val="21"/>
                      <w:szCs w:val="21"/>
                      <w:highlight w:val="none"/>
                      <w:lang w:val="en-US" w:eastAsia="zh-CN"/>
                    </w:rPr>
                    <w:t>火灾事故为0</w:t>
                  </w:r>
                </w:p>
              </w:tc>
              <w:tc>
                <w:tcPr>
                  <w:tcW w:w="3586" w:type="dxa"/>
                  <w:shd w:val="clear" w:color="auto" w:fill="auto"/>
                  <w:vAlign w:val="center"/>
                </w:tcPr>
                <w:p>
                  <w:pPr>
                    <w:rPr>
                      <w:rFonts w:ascii="宋体" w:hAnsi="宋体" w:eastAsia="宋体" w:cs="Times New Roman"/>
                      <w:kern w:val="2"/>
                      <w:sz w:val="21"/>
                      <w:szCs w:val="24"/>
                      <w:lang w:val="en-US" w:eastAsia="zh-CN" w:bidi="ar-SA"/>
                    </w:rPr>
                  </w:pPr>
                  <w:r>
                    <w:rPr>
                      <w:rFonts w:hint="eastAsia" w:ascii="Times New Roman" w:hAnsi="Times New Roman" w:cs="Times New Roman"/>
                      <w:highlight w:val="none"/>
                      <w:lang w:val="en-US" w:eastAsia="zh-CN"/>
                    </w:rPr>
                    <w:t>通过管理方案和预案措施进行管理</w:t>
                  </w:r>
                </w:p>
              </w:tc>
              <w:tc>
                <w:tcPr>
                  <w:tcW w:w="1155" w:type="dxa"/>
                  <w:shd w:val="clear" w:color="auto" w:fill="auto"/>
                  <w:vAlign w:val="center"/>
                </w:tcPr>
                <w:p>
                  <w:pPr>
                    <w:rPr>
                      <w:rFonts w:hint="eastAsia" w:ascii="宋体" w:hAnsi="宋体" w:eastAsia="宋体" w:cs="Times New Roman"/>
                      <w:kern w:val="2"/>
                      <w:sz w:val="21"/>
                      <w:szCs w:val="24"/>
                      <w:lang w:val="en-US" w:eastAsia="zh-CN" w:bidi="ar-SA"/>
                    </w:rPr>
                  </w:pPr>
                  <w:r>
                    <w:rPr>
                      <w:rFonts w:hint="eastAsia" w:ascii="宋体" w:hAnsi="宋体"/>
                      <w:lang w:eastAsia="zh-CN"/>
                    </w:rPr>
                    <w:t>行政部</w:t>
                  </w:r>
                </w:p>
              </w:tc>
              <w:tc>
                <w:tcPr>
                  <w:tcW w:w="1519" w:type="dxa"/>
                  <w:shd w:val="clear" w:color="auto" w:fill="auto"/>
                  <w:vAlign w:val="center"/>
                </w:tcPr>
                <w:p>
                  <w:pPr>
                    <w:jc w:val="center"/>
                    <w:rPr>
                      <w:rFonts w:ascii="宋体" w:hAnsi="宋体" w:eastAsia="宋体" w:cs="Times New Roman"/>
                      <w:kern w:val="2"/>
                      <w:sz w:val="21"/>
                      <w:szCs w:val="24"/>
                      <w:lang w:val="en-US" w:eastAsia="zh-CN" w:bidi="ar-SA"/>
                    </w:rPr>
                  </w:pPr>
                  <w:r>
                    <w:rPr>
                      <w:rFonts w:hint="eastAsia" w:ascii="宋体" w:hAnsi="宋体"/>
                      <w:lang w:val="en-GB"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586" w:type="dxa"/>
                  <w:shd w:val="clear" w:color="auto" w:fill="auto"/>
                  <w:vAlign w:val="center"/>
                </w:tcPr>
                <w:p>
                  <w:pPr>
                    <w:rPr>
                      <w:rFonts w:ascii="宋体" w:hAnsi="宋体"/>
                    </w:rPr>
                  </w:pPr>
                </w:p>
              </w:tc>
              <w:tc>
                <w:tcPr>
                  <w:tcW w:w="1155" w:type="dxa"/>
                  <w:shd w:val="clear" w:color="auto" w:fill="auto"/>
                  <w:vAlign w:val="center"/>
                </w:tcPr>
                <w:p>
                  <w:pPr>
                    <w:rPr>
                      <w:rFonts w:ascii="宋体" w:hAnsi="宋体"/>
                    </w:rPr>
                  </w:pPr>
                </w:p>
              </w:tc>
              <w:tc>
                <w:tcPr>
                  <w:tcW w:w="1519"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586" w:type="dxa"/>
                  <w:shd w:val="clear" w:color="auto" w:fill="auto"/>
                  <w:vAlign w:val="center"/>
                </w:tcPr>
                <w:p>
                  <w:pPr>
                    <w:rPr>
                      <w:rFonts w:ascii="宋体" w:hAnsi="宋体"/>
                    </w:rPr>
                  </w:pPr>
                </w:p>
              </w:tc>
              <w:tc>
                <w:tcPr>
                  <w:tcW w:w="1155" w:type="dxa"/>
                  <w:shd w:val="clear" w:color="auto" w:fill="auto"/>
                  <w:vAlign w:val="center"/>
                </w:tcPr>
                <w:p>
                  <w:pPr>
                    <w:rPr>
                      <w:rFonts w:ascii="宋体" w:hAnsi="宋体"/>
                    </w:rPr>
                  </w:pPr>
                </w:p>
              </w:tc>
              <w:tc>
                <w:tcPr>
                  <w:tcW w:w="1519"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586" w:type="dxa"/>
                  <w:shd w:val="clear" w:color="auto" w:fill="auto"/>
                  <w:vAlign w:val="center"/>
                </w:tcPr>
                <w:p>
                  <w:pPr>
                    <w:rPr>
                      <w:rFonts w:ascii="宋体" w:hAnsi="宋体"/>
                    </w:rPr>
                  </w:pPr>
                </w:p>
              </w:tc>
              <w:tc>
                <w:tcPr>
                  <w:tcW w:w="1155" w:type="dxa"/>
                  <w:shd w:val="clear" w:color="auto" w:fill="auto"/>
                  <w:vAlign w:val="center"/>
                </w:tcPr>
                <w:p>
                  <w:pPr>
                    <w:rPr>
                      <w:rFonts w:ascii="宋体" w:hAnsi="宋体"/>
                    </w:rPr>
                  </w:pPr>
                </w:p>
              </w:tc>
              <w:tc>
                <w:tcPr>
                  <w:tcW w:w="1519"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pPr>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pPr>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pPr>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组织应确定、提供并维护所需的基础设施情况：</w:t>
            </w:r>
          </w:p>
          <w:p>
            <w:r>
              <w:rPr>
                <w:rFonts w:hint="eastAsia"/>
                <w:lang w:eastAsia="zh-CN"/>
              </w:rPr>
              <w:t>建筑面积150平方米</w:t>
            </w:r>
            <w:r>
              <w:rPr>
                <w:rFonts w:hint="eastAsia"/>
              </w:rPr>
              <w:t>；生产车间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u w:val="single"/>
              </w:rPr>
            </w:pPr>
            <w:r>
              <w:rPr>
                <w:rFonts w:hint="eastAsia"/>
              </w:rPr>
              <w:t>主要生产设备有：</w:t>
            </w:r>
            <w:r>
              <w:rPr>
                <w:rFonts w:hint="eastAsia"/>
                <w:u w:val="single"/>
              </w:rPr>
              <w:t>（电脑、打印机、空调）</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rFonts w:ascii="Times New Roman" w:hAnsi="Times New Roman" w:eastAsia="宋体" w:cs="Times New Roman"/>
                <w:kern w:val="2"/>
                <w:sz w:val="21"/>
                <w:szCs w:val="24"/>
                <w:u w:val="single"/>
                <w:lang w:val="en-US" w:eastAsia="zh-CN" w:bidi="ar-SA"/>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rFonts w:ascii="Times New Roman" w:hAnsi="Times New Roman" w:eastAsia="宋体" w:cs="Times New Roman"/>
                <w:kern w:val="2"/>
                <w:sz w:val="21"/>
                <w:szCs w:val="24"/>
                <w:u w:val="single"/>
                <w:lang w:val="en-US" w:eastAsia="zh-CN" w:bidi="ar-SA"/>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pPr>
              <w:rPr>
                <w:rFonts w:ascii="Times New Roman" w:hAnsi="Times New Roman" w:eastAsia="宋体" w:cs="Times New Roman"/>
                <w:kern w:val="2"/>
                <w:sz w:val="21"/>
                <w:szCs w:val="24"/>
                <w:lang w:val="en-US" w:eastAsia="zh-CN" w:bidi="ar-SA"/>
              </w:rPr>
            </w:pPr>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pPr>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pPr>
              <w:rPr>
                <w:rFonts w:ascii="Times New Roman" w:hAnsi="Times New Roman" w:eastAsia="宋体" w:cs="Times New Roman"/>
                <w:kern w:val="2"/>
                <w:sz w:val="21"/>
                <w:szCs w:val="24"/>
                <w:lang w:val="en-US" w:eastAsia="zh-CN" w:bidi="ar-SA"/>
              </w:rPr>
            </w:pPr>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w:t>
                  </w:r>
                  <w:r>
                    <w:rPr>
                      <w:rFonts w:hint="eastAsia"/>
                      <w:lang w:eastAsia="zh-CN"/>
                    </w:rPr>
                    <w:t>□</w:t>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ascii="Times New Roman" w:hAnsi="Times New Roman" w:eastAsia="宋体" w:cs="Times New Roman"/>
                      <w:kern w:val="2"/>
                      <w:sz w:val="21"/>
                      <w:szCs w:val="24"/>
                      <w:lang w:val="en-US" w:eastAsia="zh-CN" w:bidi="ar-SA"/>
                    </w:rPr>
                  </w:pPr>
                  <w:r>
                    <w:rPr>
                      <w:rFonts w:hint="eastAsia"/>
                    </w:rPr>
                    <w:t>制定管理方案，应急预案并演练</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rPr>
                <w:rFonts w:ascii="Times New Roman" w:hAnsi="Times New Roman" w:eastAsia="宋体" w:cs="Times New Roman"/>
                <w:kern w:val="2"/>
                <w:sz w:val="21"/>
                <w:szCs w:val="24"/>
                <w:lang w:val="en-US" w:eastAsia="zh-CN" w:bidi="ar-SA"/>
              </w:rPr>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rPr>
                <w:rFonts w:ascii="Times New Roman" w:hAnsi="Times New Roman" w:eastAsia="宋体" w:cs="Times New Roman"/>
                <w:kern w:val="2"/>
                <w:sz w:val="21"/>
                <w:szCs w:val="24"/>
                <w:lang w:val="en-US" w:eastAsia="zh-CN" w:bidi="ar-SA"/>
              </w:rPr>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组织应在生产和服务提供期间对危化品的采购、运输、使用、储存的危险源进行控制，以确保符合MSDS和法规要求。</w:t>
            </w:r>
          </w:p>
          <w:p>
            <w:pPr>
              <w:jc w:val="left"/>
              <w:rPr>
                <w:rFonts w:ascii="Times New Roman" w:hAnsi="Times New Roman" w:eastAsia="宋体" w:cs="Times New Roman"/>
                <w:kern w:val="2"/>
                <w:sz w:val="21"/>
                <w:szCs w:val="24"/>
                <w:lang w:val="en-US" w:eastAsia="zh-CN" w:bidi="ar-SA"/>
              </w:rPr>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highlight w:val="none"/>
                <w:lang w:eastAsia="zh-CN"/>
              </w:rPr>
              <w:t>202</w:t>
            </w:r>
            <w:r>
              <w:rPr>
                <w:rFonts w:hint="eastAsia"/>
                <w:highlight w:val="none"/>
                <w:lang w:val="en-US" w:eastAsia="zh-CN"/>
              </w:rPr>
              <w:t>2</w:t>
            </w:r>
            <w:r>
              <w:rPr>
                <w:rFonts w:hint="eastAsia"/>
                <w:highlight w:val="none"/>
                <w:lang w:eastAsia="zh-CN"/>
              </w:rPr>
              <w:t>年12月</w:t>
            </w:r>
            <w:r>
              <w:rPr>
                <w:rFonts w:hint="eastAsia"/>
                <w:highlight w:val="none"/>
                <w:lang w:val="en-US" w:eastAsia="zh-CN"/>
              </w:rPr>
              <w:t>10</w:t>
            </w:r>
            <w:r>
              <w:rPr>
                <w:rFonts w:hint="eastAsia"/>
                <w:highlight w:val="none"/>
                <w:lang w:eastAsia="zh-CN"/>
              </w:rPr>
              <w:t>日进行了的演练</w:t>
            </w:r>
            <w:r>
              <w:rPr>
                <w:rFonts w:hint="eastAsia"/>
                <w:highlight w:val="none"/>
              </w:rPr>
              <w:t>；</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pPr>
              <w:rPr>
                <w:rFonts w:ascii="Times New Roman" w:hAnsi="Times New Roman" w:eastAsia="宋体" w:cs="Times New Roman"/>
                <w:kern w:val="2"/>
                <w:sz w:val="21"/>
                <w:szCs w:val="24"/>
                <w:lang w:val="en-US" w:eastAsia="zh-CN" w:bidi="ar-SA"/>
              </w:rPr>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vAlign w:val="top"/>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rFonts w:hint="eastAsia" w:eastAsia="宋体"/>
                <w:lang w:eastAsia="zh-CN"/>
              </w:rPr>
            </w:pPr>
            <w:r>
              <w:rPr>
                <w:rFonts w:hint="eastAsia"/>
                <w:lang w:eastAsia="zh-CN"/>
              </w:rPr>
              <w:t>实施合规性评价的时间：</w:t>
            </w:r>
          </w:p>
          <w:p>
            <w:r>
              <w:rPr>
                <w:rFonts w:hint="eastAsia" w:ascii="Wingdings" w:hAnsi="Wingdings"/>
                <w:lang w:eastAsia="zh-CN"/>
              </w:rPr>
              <w:t>☑</w:t>
            </w:r>
            <w:r>
              <w:rPr>
                <w:rFonts w:hint="eastAsia"/>
              </w:rPr>
              <w:t>定期（每年）：</w:t>
            </w:r>
            <w:r>
              <w:rPr>
                <w:rFonts w:hint="eastAsia"/>
                <w:lang w:eastAsia="zh-CN"/>
              </w:rPr>
              <w:t>2022年1</w:t>
            </w:r>
            <w:r>
              <w:rPr>
                <w:rFonts w:hint="eastAsia"/>
                <w:lang w:val="en-US" w:eastAsia="zh-CN"/>
              </w:rPr>
              <w:t>2</w:t>
            </w:r>
            <w:r>
              <w:rPr>
                <w:rFonts w:hint="eastAsia"/>
                <w:lang w:eastAsia="zh-CN"/>
              </w:rPr>
              <w:t>月1</w:t>
            </w:r>
            <w:r>
              <w:rPr>
                <w:rFonts w:hint="eastAsia"/>
                <w:lang w:val="en-US" w:eastAsia="zh-CN"/>
              </w:rPr>
              <w:t>0</w:t>
            </w:r>
            <w:r>
              <w:rPr>
                <w:rFonts w:hint="eastAsia"/>
                <w:lang w:eastAsia="zh-CN"/>
              </w:rPr>
              <w:t>日</w:t>
            </w:r>
          </w:p>
          <w:p>
            <w:r>
              <w:rPr>
                <w:rFonts w:hint="eastAsia" w:ascii="Wingdings" w:hAnsi="Wingdings"/>
                <w:lang w:eastAsia="zh-CN"/>
              </w:rPr>
              <w:t>□</w:t>
            </w:r>
            <w:r>
              <w:rPr>
                <w:rFonts w:hint="eastAsia"/>
              </w:rPr>
              <w:t>特殊情况（法规变化）：年月日</w:t>
            </w:r>
          </w:p>
          <w:p>
            <w:pPr>
              <w:rPr>
                <w:rFonts w:ascii="Times New Roman" w:hAnsi="Times New Roman" w:eastAsia="宋体" w:cs="Times New Roman"/>
                <w:kern w:val="2"/>
                <w:sz w:val="21"/>
                <w:szCs w:val="24"/>
                <w:lang w:val="en-US" w:eastAsia="zh-CN" w:bidi="ar-S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pPr>
              <w:rPr>
                <w:rFonts w:ascii="Times New Roman" w:hAnsi="Times New Roman" w:eastAsia="宋体" w:cs="Times New Roman"/>
                <w:kern w:val="2"/>
                <w:sz w:val="21"/>
                <w:szCs w:val="24"/>
                <w:lang w:val="en-US" w:eastAsia="zh-CN" w:bidi="ar-SA"/>
              </w:rPr>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w:t>
            </w:r>
            <w:r>
              <w:rPr>
                <w:rFonts w:hint="eastAsia"/>
              </w:rPr>
              <w:fldChar w:fldCharType="begin"/>
            </w:r>
            <w:r>
              <w:rPr>
                <w:rFonts w:hint="eastAsia"/>
              </w:rPr>
              <w:fldChar w:fldCharType="end"/>
            </w:r>
            <w:r>
              <w:rPr>
                <w:rFonts w:hint="eastAsia"/>
              </w:rPr>
              <w:t>通过年度策划于202</w:t>
            </w:r>
            <w:r>
              <w:rPr>
                <w:rFonts w:hint="eastAsia"/>
                <w:lang w:val="en-US" w:eastAsia="zh-CN"/>
              </w:rPr>
              <w:t>3</w:t>
            </w:r>
            <w:r>
              <w:rPr>
                <w:rFonts w:hint="eastAsia"/>
              </w:rPr>
              <w:t>年1月</w:t>
            </w:r>
            <w:r>
              <w:rPr>
                <w:rFonts w:hint="eastAsia"/>
                <w:lang w:val="en-US" w:eastAsia="zh-CN"/>
              </w:rPr>
              <w:t>4</w:t>
            </w:r>
            <w:r>
              <w:rPr>
                <w:rFonts w:hint="eastAsia"/>
              </w:rPr>
              <w:t>日至</w:t>
            </w:r>
            <w:r>
              <w:rPr>
                <w:rFonts w:hint="eastAsia"/>
                <w:lang w:val="en-US" w:eastAsia="zh-CN"/>
              </w:rPr>
              <w:t>5</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pPr>
              <w:rPr>
                <w:rFonts w:ascii="Times New Roman" w:hAnsi="Times New Roman" w:eastAsia="宋体" w:cs="Times New Roman"/>
                <w:kern w:val="2"/>
                <w:sz w:val="21"/>
                <w:szCs w:val="24"/>
                <w:lang w:val="en-US" w:eastAsia="zh-CN" w:bidi="ar-SA"/>
              </w:rPr>
            </w:pPr>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最高管理者已按策划的时间间隔，在202</w:t>
            </w:r>
            <w:r>
              <w:rPr>
                <w:rFonts w:hint="eastAsia"/>
                <w:lang w:val="en-US" w:eastAsia="zh-CN"/>
              </w:rPr>
              <w:t>3</w:t>
            </w:r>
            <w:r>
              <w:rPr>
                <w:rFonts w:hint="eastAsia"/>
              </w:rPr>
              <w:t>年2月</w:t>
            </w:r>
            <w:r>
              <w:rPr>
                <w:rFonts w:hint="eastAsia"/>
                <w:lang w:val="en-US" w:eastAsia="zh-CN"/>
              </w:rPr>
              <w:t>10</w:t>
            </w:r>
            <w:r>
              <w:rPr>
                <w:rFonts w:hint="eastAsia"/>
              </w:rPr>
              <w:t>日对组织的职业健康安全管理体系进行了评审，以确保其持续的适宜性、充分性和有效性；管理评审输入、输出均按要求提供。并对提出的改进措施进行了落实。</w:t>
            </w:r>
          </w:p>
          <w:p/>
          <w:p>
            <w:pPr>
              <w:rPr>
                <w:rFonts w:ascii="Times New Roman" w:hAnsi="Times New Roman" w:eastAsia="宋体" w:cs="Times New Roman"/>
                <w:kern w:val="2"/>
                <w:sz w:val="21"/>
                <w:szCs w:val="24"/>
                <w:lang w:val="en-US" w:eastAsia="zh-CN" w:bidi="ar-SA"/>
              </w:rPr>
            </w:pPr>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vAlign w:val="top"/>
          </w:tcPr>
          <w:p>
            <w:r>
              <w:rPr>
                <w:rFonts w:hint="eastAsia"/>
              </w:rPr>
              <w:t>组织已确定和选择改进机会，并采取必要措施改进职业健康安全管理体系，实现其职业健康安全管理体系的预期结果。</w:t>
            </w:r>
          </w:p>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pPr>
              <w:rPr>
                <w:rFonts w:ascii="Times New Roman" w:hAnsi="Times New Roman" w:eastAsia="宋体" w:cs="Times New Roman"/>
                <w:kern w:val="2"/>
                <w:sz w:val="21"/>
                <w:szCs w:val="24"/>
                <w:lang w:val="en-US" w:eastAsia="zh-CN" w:bidi="ar-SA"/>
              </w:rPr>
            </w:pPr>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bookmarkStart w:id="33" w:name="_GoBack" w:colFirst="1" w:colLast="3"/>
            <w:r>
              <w:rPr>
                <w:rFonts w:hint="eastAsia"/>
                <w:lang w:val="en-GB"/>
              </w:rPr>
              <w:t>评价*)</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bookmark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000000"/>
    <w:rsid w:val="134355A0"/>
    <w:rsid w:val="285A4A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18691</Words>
  <Characters>19471</Characters>
  <Lines>150</Lines>
  <Paragraphs>42</Paragraphs>
  <TotalTime>0</TotalTime>
  <ScaleCrop>false</ScaleCrop>
  <LinksUpToDate>false</LinksUpToDate>
  <CharactersWithSpaces>19598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2023-03-14T05:52:52Z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