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lang w:eastAsia="zh-CN"/>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eastAsia="zh-CN"/>
        </w:rPr>
        <w:t>（</w:t>
      </w:r>
      <w:r>
        <w:rPr>
          <w:rFonts w:hint="eastAsia" w:ascii="隶书" w:hAnsi="宋体" w:eastAsia="隶书"/>
          <w:bCs/>
          <w:color w:val="000000"/>
          <w:sz w:val="36"/>
          <w:szCs w:val="36"/>
          <w:lang w:val="en-US" w:eastAsia="zh-CN"/>
        </w:rPr>
        <w:t>远程</w:t>
      </w:r>
      <w:r>
        <w:rPr>
          <w:rFonts w:hint="eastAsia" w:ascii="隶书" w:hAnsi="宋体" w:eastAsia="隶书"/>
          <w:bCs/>
          <w:color w:val="000000"/>
          <w:sz w:val="36"/>
          <w:szCs w:val="36"/>
          <w:lang w:eastAsia="zh-CN"/>
        </w:rPr>
        <w:t>）</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80" w:type="dxa"/>
            <w:vAlign w:val="center"/>
          </w:tcPr>
          <w:p>
            <w:pPr>
              <w:rPr>
                <w:rFonts w:hint="default" w:eastAsia="宋体"/>
                <w:color w:val="auto"/>
                <w:szCs w:val="21"/>
                <w:lang w:val="en-US" w:eastAsia="zh-CN"/>
              </w:rPr>
            </w:pPr>
            <w:r>
              <w:rPr>
                <w:rFonts w:hint="eastAsia"/>
                <w:szCs w:val="21"/>
              </w:rPr>
              <w:t>受审核部门：</w:t>
            </w:r>
            <w:r>
              <w:rPr>
                <w:rFonts w:hint="eastAsia" w:ascii="宋体" w:hAnsi="宋体" w:cs="Times New Roman"/>
                <w:sz w:val="21"/>
                <w:szCs w:val="21"/>
              </w:rPr>
              <w:t>管理层、综合</w:t>
            </w:r>
            <w:r>
              <w:rPr>
                <w:rFonts w:hint="eastAsia" w:ascii="宋体" w:hAnsi="宋体" w:cs="Times New Roman"/>
                <w:sz w:val="21"/>
                <w:szCs w:val="21"/>
                <w:lang w:val="en-US" w:eastAsia="zh-CN"/>
              </w:rPr>
              <w:t>服务</w:t>
            </w:r>
            <w:r>
              <w:rPr>
                <w:rFonts w:hint="eastAsia" w:ascii="宋体" w:hAnsi="宋体" w:cs="Times New Roman"/>
                <w:sz w:val="21"/>
                <w:szCs w:val="21"/>
              </w:rPr>
              <w:t>部、</w:t>
            </w:r>
            <w:r>
              <w:rPr>
                <w:rFonts w:hint="eastAsia" w:ascii="宋体" w:hAnsi="宋体" w:cs="Times New Roman"/>
                <w:sz w:val="21"/>
                <w:szCs w:val="21"/>
                <w:lang w:val="en-US" w:eastAsia="zh-CN"/>
              </w:rPr>
              <w:t>财务</w:t>
            </w:r>
            <w:r>
              <w:rPr>
                <w:rFonts w:hint="eastAsia" w:ascii="宋体" w:hAnsi="宋体" w:cs="Times New Roman"/>
                <w:sz w:val="21"/>
                <w:szCs w:val="21"/>
              </w:rPr>
              <w:t>部、技术</w:t>
            </w:r>
            <w:r>
              <w:rPr>
                <w:rFonts w:hint="eastAsia" w:ascii="宋体" w:hAnsi="宋体" w:cs="Times New Roman"/>
                <w:sz w:val="21"/>
                <w:szCs w:val="21"/>
                <w:lang w:val="en-US" w:eastAsia="zh-CN"/>
              </w:rPr>
              <w:t>支持</w:t>
            </w:r>
            <w:r>
              <w:rPr>
                <w:rFonts w:hint="eastAsia" w:ascii="宋体" w:hAnsi="宋体" w:cs="Times New Roman"/>
                <w:sz w:val="21"/>
                <w:szCs w:val="21"/>
              </w:rPr>
              <w:t>部、</w:t>
            </w:r>
            <w:r>
              <w:rPr>
                <w:rFonts w:hint="eastAsia" w:ascii="宋体" w:hAnsi="宋体" w:cs="Times New Roman"/>
                <w:sz w:val="21"/>
                <w:szCs w:val="21"/>
                <w:lang w:val="en-US" w:eastAsia="zh-CN"/>
              </w:rPr>
              <w:t>市场营销</w:t>
            </w:r>
            <w:r>
              <w:rPr>
                <w:rFonts w:hint="eastAsia" w:ascii="宋体" w:hAnsi="宋体" w:cs="Times New Roman"/>
                <w:sz w:val="21"/>
                <w:szCs w:val="21"/>
              </w:rPr>
              <w:t>部、工程</w:t>
            </w:r>
            <w:r>
              <w:rPr>
                <w:rFonts w:hint="eastAsia" w:ascii="宋体" w:hAnsi="宋体" w:cs="Times New Roman"/>
                <w:sz w:val="21"/>
                <w:szCs w:val="21"/>
                <w:lang w:val="en-US" w:eastAsia="zh-CN"/>
              </w:rPr>
              <w:t>服务</w:t>
            </w:r>
            <w:r>
              <w:rPr>
                <w:rFonts w:hint="eastAsia" w:ascii="宋体" w:hAnsi="宋体" w:cs="Times New Roman"/>
                <w:sz w:val="21"/>
                <w:szCs w:val="21"/>
              </w:rPr>
              <w:t>部</w:t>
            </w:r>
            <w:r>
              <w:rPr>
                <w:rFonts w:hint="eastAsia" w:ascii="宋体" w:hAnsi="宋体" w:cs="Times New Roman"/>
                <w:sz w:val="21"/>
                <w:szCs w:val="21"/>
                <w:lang w:eastAsia="zh-CN"/>
              </w:rPr>
              <w:t>、</w:t>
            </w:r>
            <w:r>
              <w:rPr>
                <w:rFonts w:hint="eastAsia" w:ascii="宋体" w:hAnsi="宋体" w:cs="Times New Roman"/>
                <w:sz w:val="21"/>
                <w:szCs w:val="21"/>
                <w:lang w:val="en-US" w:eastAsia="zh-CN"/>
              </w:rPr>
              <w:t>项目部</w:t>
            </w:r>
          </w:p>
          <w:p>
            <w:pPr>
              <w:rPr>
                <w:rFonts w:hint="eastAsia" w:eastAsia="宋体"/>
                <w:szCs w:val="21"/>
                <w:lang w:val="en-US" w:eastAsia="zh-CN"/>
              </w:rPr>
            </w:pPr>
            <w:r>
              <w:rPr>
                <w:rFonts w:hint="eastAsia" w:asciiTheme="minorEastAsia" w:hAnsiTheme="minorEastAsia" w:eastAsiaTheme="minorEastAsia" w:cstheme="minorEastAsia"/>
                <w:sz w:val="21"/>
                <w:szCs w:val="21"/>
                <w:lang w:val="en-US" w:eastAsia="zh-CN"/>
              </w:rPr>
              <w:t>总经理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王霞  管代：陈华英     </w:t>
            </w:r>
            <w:r>
              <w:rPr>
                <w:rFonts w:hint="eastAsia" w:asciiTheme="minorEastAsia" w:hAnsiTheme="minorEastAsia" w:eastAsiaTheme="minorEastAsia" w:cstheme="minorEastAsia"/>
                <w:sz w:val="21"/>
                <w:szCs w:val="21"/>
              </w:rPr>
              <w:t xml:space="preserve"> </w:t>
            </w:r>
            <w:bookmarkStart w:id="2" w:name="_GoBack"/>
            <w:bookmarkEnd w:id="2"/>
          </w:p>
        </w:tc>
        <w:tc>
          <w:tcPr>
            <w:tcW w:w="709"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widowControl/>
              <w:jc w:val="left"/>
              <w:rPr>
                <w:szCs w:val="21"/>
              </w:rPr>
            </w:pPr>
          </w:p>
        </w:tc>
        <w:tc>
          <w:tcPr>
            <w:tcW w:w="960" w:type="dxa"/>
            <w:vMerge w:val="continue"/>
            <w:vAlign w:val="center"/>
          </w:tcPr>
          <w:p>
            <w:pPr>
              <w:widowControl/>
              <w:jc w:val="left"/>
              <w:rPr>
                <w:szCs w:val="21"/>
              </w:rPr>
            </w:pPr>
          </w:p>
        </w:tc>
        <w:tc>
          <w:tcPr>
            <w:tcW w:w="10880" w:type="dxa"/>
            <w:vAlign w:val="center"/>
          </w:tcPr>
          <w:p>
            <w:pPr>
              <w:spacing w:before="120"/>
              <w:rPr>
                <w:szCs w:val="21"/>
              </w:rPr>
            </w:pPr>
            <w:r>
              <w:rPr>
                <w:rFonts w:hint="eastAsia"/>
                <w:szCs w:val="21"/>
              </w:rPr>
              <w:t>审核员：王志慧</w:t>
            </w:r>
            <w:r>
              <w:rPr>
                <w:szCs w:val="21"/>
              </w:rPr>
              <w:t xml:space="preserve">   </w:t>
            </w:r>
            <w:r>
              <w:rPr>
                <w:rFonts w:hint="eastAsia"/>
                <w:szCs w:val="21"/>
              </w:rPr>
              <w:t>审核时间：</w:t>
            </w:r>
            <w:r>
              <w:rPr>
                <w:szCs w:val="21"/>
              </w:rPr>
              <w:t xml:space="preserve"> </w:t>
            </w:r>
            <w:r>
              <w:rPr>
                <w:rFonts w:hint="eastAsia"/>
                <w:szCs w:val="21"/>
              </w:rPr>
              <w:t>20</w:t>
            </w:r>
            <w:r>
              <w:rPr>
                <w:rFonts w:hint="eastAsia"/>
                <w:szCs w:val="21"/>
                <w:lang w:val="en-US" w:eastAsia="zh-CN"/>
              </w:rPr>
              <w:t>20</w:t>
            </w:r>
            <w:r>
              <w:rPr>
                <w:rFonts w:hint="eastAsia"/>
                <w:szCs w:val="21"/>
              </w:rPr>
              <w:t>年</w:t>
            </w:r>
            <w:r>
              <w:rPr>
                <w:rFonts w:hint="eastAsia"/>
                <w:szCs w:val="21"/>
                <w:lang w:val="en-US" w:eastAsia="zh-CN"/>
              </w:rPr>
              <w:t>10</w:t>
            </w:r>
            <w:r>
              <w:rPr>
                <w:rFonts w:hint="eastAsia"/>
                <w:szCs w:val="21"/>
              </w:rPr>
              <w:t>月</w:t>
            </w:r>
            <w:r>
              <w:rPr>
                <w:rFonts w:hint="eastAsia"/>
                <w:szCs w:val="21"/>
                <w:lang w:val="en-US" w:eastAsia="zh-CN"/>
              </w:rPr>
              <w:t>17-19</w:t>
            </w:r>
            <w:r>
              <w:rPr>
                <w:rFonts w:hint="eastAsia"/>
                <w:szCs w:val="21"/>
              </w:rPr>
              <w:t>日</w:t>
            </w:r>
          </w:p>
        </w:tc>
        <w:tc>
          <w:tcPr>
            <w:tcW w:w="709" w:type="dxa"/>
            <w:vMerge w:val="continue"/>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widowControl/>
              <w:jc w:val="left"/>
              <w:rPr>
                <w:szCs w:val="21"/>
              </w:rPr>
            </w:pPr>
          </w:p>
        </w:tc>
        <w:tc>
          <w:tcPr>
            <w:tcW w:w="960" w:type="dxa"/>
            <w:vMerge w:val="continue"/>
            <w:vAlign w:val="center"/>
          </w:tcPr>
          <w:p>
            <w:pPr>
              <w:widowControl/>
              <w:jc w:val="left"/>
              <w:rPr>
                <w:szCs w:val="21"/>
              </w:rPr>
            </w:pPr>
          </w:p>
        </w:tc>
        <w:tc>
          <w:tcPr>
            <w:tcW w:w="10880" w:type="dxa"/>
            <w:vAlign w:val="center"/>
          </w:tcPr>
          <w:p>
            <w:pPr>
              <w:rPr>
                <w:rFonts w:hint="eastAsia" w:eastAsia="宋体"/>
                <w:szCs w:val="21"/>
                <w:lang w:val="en-US" w:eastAsia="zh-CN"/>
              </w:rPr>
            </w:pPr>
            <w:r>
              <w:rPr>
                <w:rFonts w:hint="eastAsia"/>
                <w:szCs w:val="21"/>
              </w:rPr>
              <w:t>审核条款：</w:t>
            </w:r>
            <w:r>
              <w:rPr>
                <w:rFonts w:hint="eastAsia"/>
                <w:szCs w:val="21"/>
                <w:lang w:val="en-US" w:eastAsia="zh-CN"/>
              </w:rPr>
              <w:t>略</w:t>
            </w:r>
          </w:p>
        </w:tc>
        <w:tc>
          <w:tcPr>
            <w:tcW w:w="709" w:type="dxa"/>
            <w:vMerge w:val="continue"/>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400" w:lineRule="exact"/>
              <w:rPr>
                <w:szCs w:val="21"/>
              </w:rPr>
            </w:pPr>
            <w:r>
              <w:rPr>
                <w:rFonts w:hint="eastAsia"/>
                <w:szCs w:val="21"/>
              </w:rPr>
              <w:t>企业名称确认</w:t>
            </w:r>
          </w:p>
          <w:p>
            <w:pPr>
              <w:spacing w:line="400" w:lineRule="exact"/>
              <w:rPr>
                <w:szCs w:val="21"/>
              </w:rPr>
            </w:pPr>
            <w:r>
              <w:rPr>
                <w:rFonts w:hint="eastAsia"/>
                <w:szCs w:val="21"/>
              </w:rPr>
              <w:t>地址（包括注册地址、生产</w:t>
            </w:r>
            <w:r>
              <w:rPr>
                <w:szCs w:val="21"/>
              </w:rPr>
              <w:t>/</w:t>
            </w:r>
            <w:r>
              <w:rPr>
                <w:rFonts w:hint="eastAsia"/>
                <w:szCs w:val="21"/>
              </w:rPr>
              <w:t>经营地址）、多场所地址等</w:t>
            </w:r>
          </w:p>
          <w:p>
            <w:pPr>
              <w:spacing w:line="400" w:lineRule="exact"/>
              <w:rPr>
                <w:szCs w:val="21"/>
              </w:rPr>
            </w:pPr>
            <w:r>
              <w:rPr>
                <w:rFonts w:hint="eastAsia"/>
                <w:szCs w:val="21"/>
              </w:rPr>
              <w:t>营业执照、组织机构代码证、相关资质的有效性确认</w:t>
            </w:r>
          </w:p>
          <w:p>
            <w:pPr>
              <w:widowControl/>
              <w:jc w:val="left"/>
              <w:rPr>
                <w:szCs w:val="21"/>
              </w:rPr>
            </w:pPr>
          </w:p>
        </w:tc>
        <w:tc>
          <w:tcPr>
            <w:tcW w:w="960" w:type="dxa"/>
            <w:vAlign w:val="center"/>
          </w:tcPr>
          <w:p>
            <w:pPr>
              <w:widowControl/>
              <w:jc w:val="left"/>
              <w:rPr>
                <w:szCs w:val="21"/>
              </w:rPr>
            </w:pPr>
          </w:p>
        </w:tc>
        <w:tc>
          <w:tcPr>
            <w:tcW w:w="10880" w:type="dxa"/>
            <w:vAlign w:val="center"/>
          </w:tcPr>
          <w:p>
            <w:pPr>
              <w:spacing w:line="360" w:lineRule="auto"/>
              <w:jc w:val="left"/>
              <w:rPr>
                <w:rFonts w:hint="default"/>
                <w:lang w:val="en-US" w:eastAsia="zh-CN"/>
              </w:rPr>
            </w:pPr>
            <w:r>
              <w:rPr>
                <w:rFonts w:hint="eastAsia"/>
                <w:lang w:val="en-US" w:eastAsia="zh-CN"/>
              </w:rPr>
              <w:t>面谈人员：</w:t>
            </w:r>
            <w:r>
              <w:rPr>
                <w:rFonts w:hint="eastAsia" w:asciiTheme="minorEastAsia" w:hAnsiTheme="minorEastAsia" w:eastAsiaTheme="minorEastAsia" w:cstheme="minorEastAsia"/>
                <w:sz w:val="21"/>
                <w:szCs w:val="21"/>
                <w:lang w:val="en-US" w:eastAsia="zh-CN"/>
              </w:rPr>
              <w:t>总经理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王霞  管代：陈华英 </w:t>
            </w:r>
          </w:p>
          <w:p>
            <w:pPr>
              <w:spacing w:line="360" w:lineRule="auto"/>
              <w:ind w:firstLine="420" w:firstLineChars="200"/>
              <w:jc w:val="left"/>
              <w:rPr>
                <w:rFonts w:hint="eastAsia"/>
                <w:lang w:val="en-US" w:eastAsia="zh-CN"/>
              </w:rPr>
            </w:pPr>
            <w:bookmarkStart w:id="0" w:name="组织名称"/>
            <w:r>
              <w:rPr>
                <w:rFonts w:hint="eastAsia" w:asciiTheme="minorEastAsia" w:hAnsiTheme="minorEastAsia" w:eastAsiaTheme="minorEastAsia" w:cstheme="minorEastAsia"/>
                <w:sz w:val="21"/>
                <w:szCs w:val="21"/>
              </w:rPr>
              <w:t>江西盛通网络有限公司</w:t>
            </w:r>
            <w:bookmarkEnd w:id="0"/>
            <w:r>
              <w:rPr>
                <w:rFonts w:hint="eastAsia"/>
                <w:lang w:val="en-US" w:eastAsia="zh-CN"/>
              </w:rPr>
              <w:t>，成立于2006年，注册资金2100万元。公司具有办公区总占地面积2000平方米，大中小设备50多台套。现有员工34人。</w:t>
            </w:r>
          </w:p>
          <w:p>
            <w:pPr>
              <w:spacing w:line="360" w:lineRule="auto"/>
              <w:jc w:val="left"/>
              <w:rPr>
                <w:rFonts w:hint="eastAsia"/>
                <w:lang w:val="en-US" w:eastAsia="zh-CN"/>
              </w:rPr>
            </w:pPr>
            <w:r>
              <w:rPr>
                <w:rFonts w:hint="eastAsia"/>
                <w:lang w:val="en-US" w:eastAsia="zh-CN"/>
              </w:rPr>
              <w:t>查：申请方提供的各类资质证明：</w:t>
            </w:r>
          </w:p>
          <w:p>
            <w:pPr>
              <w:spacing w:line="360" w:lineRule="auto"/>
              <w:jc w:val="left"/>
              <w:rPr>
                <w:rFonts w:hint="eastAsia"/>
                <w:b w:val="0"/>
                <w:bCs w:val="0"/>
                <w:lang w:val="en-US" w:eastAsia="zh-CN"/>
              </w:rPr>
            </w:pPr>
            <w:r>
              <w:rPr>
                <w:rFonts w:hint="eastAsia"/>
                <w:b w:val="0"/>
                <w:bCs w:val="0"/>
                <w:lang w:val="en-US" w:eastAsia="zh-CN"/>
              </w:rPr>
              <w:t>《营业执照》：</w:t>
            </w:r>
          </w:p>
          <w:p>
            <w:pPr>
              <w:spacing w:line="360" w:lineRule="auto"/>
              <w:jc w:val="left"/>
              <w:rPr>
                <w:rFonts w:hint="eastAsia" w:eastAsia="宋体"/>
                <w:b w:val="0"/>
                <w:bCs w:val="0"/>
                <w:lang w:eastAsia="zh-CN"/>
              </w:rPr>
            </w:pPr>
            <w:r>
              <w:rPr>
                <w:rFonts w:hint="eastAsia"/>
                <w:b w:val="0"/>
                <w:bCs w:val="0"/>
              </w:rPr>
              <w:t>公司名称：</w:t>
            </w:r>
            <w:r>
              <w:rPr>
                <w:rFonts w:hint="eastAsia" w:asciiTheme="minorEastAsia" w:hAnsiTheme="minorEastAsia" w:eastAsiaTheme="minorEastAsia" w:cstheme="minorEastAsia"/>
                <w:b w:val="0"/>
                <w:bCs w:val="0"/>
                <w:sz w:val="21"/>
                <w:szCs w:val="21"/>
              </w:rPr>
              <w:t>江西盛通网络有限公司</w:t>
            </w:r>
            <w:r>
              <w:rPr>
                <w:rFonts w:hint="eastAsia"/>
                <w:b w:val="0"/>
                <w:bCs w:val="0"/>
              </w:rPr>
              <w:t>，公司</w:t>
            </w:r>
            <w:r>
              <w:rPr>
                <w:rFonts w:hint="eastAsia"/>
                <w:b w:val="0"/>
                <w:bCs w:val="0"/>
                <w:lang w:val="en-US" w:eastAsia="zh-CN"/>
              </w:rPr>
              <w:t>成立：</w:t>
            </w:r>
            <w:r>
              <w:rPr>
                <w:rFonts w:hint="eastAsia"/>
                <w:b w:val="0"/>
                <w:bCs w:val="0"/>
              </w:rPr>
              <w:t>20</w:t>
            </w:r>
            <w:r>
              <w:rPr>
                <w:rFonts w:hint="eastAsia"/>
                <w:b w:val="0"/>
                <w:bCs w:val="0"/>
                <w:lang w:val="en-US" w:eastAsia="zh-CN"/>
              </w:rPr>
              <w:t>06</w:t>
            </w:r>
            <w:r>
              <w:rPr>
                <w:rFonts w:hint="eastAsia"/>
                <w:b w:val="0"/>
                <w:bCs w:val="0"/>
              </w:rPr>
              <w:t>年</w:t>
            </w:r>
            <w:r>
              <w:rPr>
                <w:rFonts w:hint="eastAsia"/>
                <w:b w:val="0"/>
                <w:bCs w:val="0"/>
                <w:lang w:val="en-US" w:eastAsia="zh-CN"/>
              </w:rPr>
              <w:t>03</w:t>
            </w:r>
            <w:r>
              <w:rPr>
                <w:rFonts w:hint="eastAsia"/>
                <w:b w:val="0"/>
                <w:bCs w:val="0"/>
              </w:rPr>
              <w:t>月</w:t>
            </w:r>
            <w:r>
              <w:rPr>
                <w:rFonts w:hint="eastAsia"/>
                <w:b w:val="0"/>
                <w:bCs w:val="0"/>
                <w:lang w:val="en-US" w:eastAsia="zh-CN"/>
              </w:rPr>
              <w:t>31</w:t>
            </w:r>
            <w:r>
              <w:rPr>
                <w:rFonts w:hint="eastAsia"/>
                <w:b w:val="0"/>
                <w:bCs w:val="0"/>
              </w:rPr>
              <w:t>日</w:t>
            </w:r>
            <w:r>
              <w:rPr>
                <w:rFonts w:hint="eastAsia"/>
                <w:b w:val="0"/>
                <w:bCs w:val="0"/>
                <w:lang w:val="en-US" w:eastAsia="zh-CN"/>
              </w:rPr>
              <w:t>成立</w:t>
            </w:r>
            <w:r>
              <w:rPr>
                <w:rFonts w:hint="eastAsia"/>
                <w:b w:val="0"/>
                <w:bCs w:val="0"/>
              </w:rPr>
              <w:t>，有效期</w:t>
            </w:r>
            <w:r>
              <w:rPr>
                <w:rFonts w:hint="eastAsia"/>
                <w:b w:val="0"/>
                <w:bCs w:val="0"/>
                <w:lang w:eastAsia="zh-CN"/>
              </w:rPr>
              <w:t>：</w:t>
            </w:r>
            <w:r>
              <w:rPr>
                <w:rFonts w:hint="eastAsia"/>
                <w:b w:val="0"/>
                <w:bCs w:val="0"/>
                <w:lang w:val="en-US" w:eastAsia="zh-CN"/>
              </w:rPr>
              <w:t>长期</w:t>
            </w:r>
          </w:p>
          <w:p>
            <w:pPr>
              <w:spacing w:line="360" w:lineRule="auto"/>
              <w:jc w:val="left"/>
              <w:rPr>
                <w:b w:val="0"/>
                <w:bCs w:val="0"/>
              </w:rPr>
            </w:pPr>
            <w:r>
              <w:rPr>
                <w:rFonts w:hint="eastAsia"/>
                <w:b w:val="0"/>
                <w:bCs w:val="0"/>
              </w:rPr>
              <w:t>法人代表：</w:t>
            </w:r>
            <w:r>
              <w:rPr>
                <w:rFonts w:hint="eastAsia" w:asciiTheme="minorEastAsia" w:hAnsiTheme="minorEastAsia" w:eastAsiaTheme="minorEastAsia" w:cstheme="minorEastAsia"/>
                <w:b w:val="0"/>
                <w:bCs w:val="0"/>
                <w:sz w:val="21"/>
                <w:szCs w:val="21"/>
                <w:lang w:val="en-US" w:eastAsia="zh-CN"/>
              </w:rPr>
              <w:t>王霞</w:t>
            </w:r>
            <w:r>
              <w:rPr>
                <w:rFonts w:hint="eastAsia"/>
                <w:b w:val="0"/>
                <w:bCs w:val="0"/>
              </w:rPr>
              <w:t>。</w:t>
            </w:r>
          </w:p>
          <w:p>
            <w:pPr>
              <w:spacing w:line="360" w:lineRule="auto"/>
              <w:jc w:val="left"/>
              <w:rPr>
                <w:rFonts w:hint="eastAsia"/>
                <w:b w:val="0"/>
                <w:bCs w:val="0"/>
                <w:lang w:val="de-DE" w:eastAsia="zh-CN"/>
              </w:rPr>
            </w:pPr>
            <w:r>
              <w:rPr>
                <w:rFonts w:hint="eastAsia"/>
                <w:b w:val="0"/>
                <w:bCs w:val="0"/>
              </w:rPr>
              <w:t>注册地址：</w:t>
            </w:r>
            <w:bookmarkStart w:id="1" w:name="生产地址"/>
            <w:r>
              <w:rPr>
                <w:rFonts w:hint="eastAsia" w:asciiTheme="minorEastAsia" w:hAnsiTheme="minorEastAsia" w:eastAsiaTheme="minorEastAsia" w:cstheme="minorEastAsia"/>
                <w:b w:val="0"/>
                <w:bCs w:val="0"/>
                <w:sz w:val="21"/>
                <w:szCs w:val="21"/>
              </w:rPr>
              <w:t>江西省南昌市青山湖区京东大道300号水榭尚都A1栋610室(第6层)</w:t>
            </w:r>
            <w:bookmarkEnd w:id="1"/>
          </w:p>
          <w:p>
            <w:pPr>
              <w:spacing w:line="360" w:lineRule="auto"/>
              <w:jc w:val="left"/>
              <w:rPr>
                <w:rFonts w:hint="eastAsia" w:ascii="Times New Roman" w:hAnsi="Times New Roman" w:eastAsia="宋体" w:cs="Times New Roman"/>
                <w:b w:val="0"/>
                <w:bCs w:val="0"/>
                <w:szCs w:val="22"/>
              </w:rPr>
            </w:pPr>
            <w:r>
              <w:rPr>
                <w:rFonts w:hint="eastAsia"/>
                <w:b w:val="0"/>
                <w:bCs w:val="0"/>
              </w:rPr>
              <w:t>经营范围：</w:t>
            </w:r>
            <w:r>
              <w:rPr>
                <w:rFonts w:hint="eastAsia" w:asciiTheme="minorEastAsia" w:hAnsiTheme="minorEastAsia" w:eastAsiaTheme="minorEastAsia" w:cstheme="minorEastAsia"/>
                <w:b w:val="0"/>
                <w:bCs w:val="0"/>
                <w:sz w:val="21"/>
                <w:szCs w:val="21"/>
              </w:rPr>
              <w:t>建筑智能化工程的施工（仅限资质范围内）</w:t>
            </w:r>
            <w:r>
              <w:rPr>
                <w:rFonts w:hint="eastAsia" w:ascii="Times New Roman" w:hAnsi="Times New Roman" w:eastAsia="宋体" w:cs="Times New Roman"/>
                <w:b w:val="0"/>
                <w:bCs w:val="0"/>
                <w:szCs w:val="22"/>
              </w:rPr>
              <w:t>营业执照符合要求，见附件。</w:t>
            </w:r>
          </w:p>
          <w:p>
            <w:pPr>
              <w:pStyle w:val="2"/>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 xml:space="preserve">证书名称 证书编号   </w:t>
            </w:r>
            <w:r>
              <w:rPr>
                <w:rFonts w:hint="eastAsia" w:cs="Times New Roman"/>
                <w:b w:val="0"/>
                <w:bCs w:val="0"/>
                <w:szCs w:val="22"/>
                <w:lang w:val="en-US" w:eastAsia="zh-CN"/>
              </w:rPr>
              <w:t xml:space="preserve">                     </w:t>
            </w:r>
            <w:r>
              <w:rPr>
                <w:rFonts w:hint="eastAsia" w:ascii="Times New Roman" w:hAnsi="Times New Roman" w:eastAsia="宋体" w:cs="Times New Roman"/>
                <w:b w:val="0"/>
                <w:bCs w:val="0"/>
                <w:szCs w:val="22"/>
                <w:lang w:val="en-US" w:eastAsia="zh-CN"/>
              </w:rPr>
              <w:t>有效期</w:t>
            </w:r>
          </w:p>
          <w:p>
            <w:pPr>
              <w:pStyle w:val="2"/>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 xml:space="preserve">营业执照 91360100787254134Y   </w:t>
            </w:r>
            <w:r>
              <w:rPr>
                <w:rFonts w:hint="eastAsia" w:cs="Times New Roman"/>
                <w:b w:val="0"/>
                <w:bCs w:val="0"/>
                <w:szCs w:val="22"/>
                <w:lang w:val="en-US" w:eastAsia="zh-CN"/>
              </w:rPr>
              <w:t xml:space="preserve">            </w:t>
            </w:r>
            <w:r>
              <w:rPr>
                <w:rFonts w:hint="eastAsia" w:ascii="Times New Roman" w:hAnsi="Times New Roman" w:eastAsia="宋体" w:cs="Times New Roman"/>
                <w:b w:val="0"/>
                <w:bCs w:val="0"/>
                <w:szCs w:val="22"/>
                <w:lang w:val="en-US" w:eastAsia="zh-CN"/>
              </w:rPr>
              <w:t>长期</w:t>
            </w:r>
          </w:p>
          <w:p>
            <w:pPr>
              <w:pStyle w:val="2"/>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安全生产许可证 (赣)JZ安许证字[2019]000017   2022.10.09</w:t>
            </w:r>
          </w:p>
          <w:p>
            <w:pPr>
              <w:pStyle w:val="2"/>
              <w:rPr>
                <w:rFonts w:hint="eastAsia" w:ascii="Times New Roman" w:hAnsi="Times New Roman" w:eastAsia="宋体" w:cs="Times New Roman"/>
                <w:b w:val="0"/>
                <w:bCs w:val="0"/>
                <w:szCs w:val="22"/>
                <w:lang w:val="en-US" w:eastAsia="zh-CN"/>
              </w:rPr>
            </w:pPr>
            <w:r>
              <w:rPr>
                <w:rFonts w:hint="eastAsia" w:ascii="Times New Roman" w:hAnsi="Times New Roman" w:eastAsia="宋体" w:cs="Times New Roman"/>
                <w:b w:val="0"/>
                <w:bCs w:val="0"/>
                <w:szCs w:val="22"/>
                <w:lang w:val="en-US" w:eastAsia="zh-CN"/>
              </w:rPr>
              <w:t xml:space="preserve">电子与智能化工程专业承包贰级 D236150800   </w:t>
            </w:r>
            <w:r>
              <w:rPr>
                <w:rFonts w:hint="eastAsia" w:cs="Times New Roman"/>
                <w:b w:val="0"/>
                <w:bCs w:val="0"/>
                <w:szCs w:val="22"/>
                <w:lang w:val="en-US" w:eastAsia="zh-CN"/>
              </w:rPr>
              <w:t xml:space="preserve"> </w:t>
            </w:r>
            <w:r>
              <w:rPr>
                <w:rFonts w:hint="eastAsia" w:ascii="Times New Roman" w:hAnsi="Times New Roman" w:eastAsia="宋体" w:cs="Times New Roman"/>
                <w:b w:val="0"/>
                <w:bCs w:val="0"/>
                <w:szCs w:val="22"/>
                <w:lang w:val="en-US" w:eastAsia="zh-CN"/>
              </w:rPr>
              <w:t>2024.07.03</w:t>
            </w:r>
          </w:p>
          <w:p>
            <w:pPr>
              <w:pStyle w:val="2"/>
              <w:rPr>
                <w:rFonts w:hint="default"/>
                <w:szCs w:val="21"/>
                <w:lang w:val="en-US" w:eastAsia="zh-CN"/>
              </w:rPr>
            </w:pPr>
            <w:r>
              <w:rPr>
                <w:rFonts w:hint="eastAsia"/>
                <w:szCs w:val="21"/>
                <w:lang w:val="en-US" w:eastAsia="zh-CN"/>
              </w:rPr>
              <w:t>资质满足认证范围的要求。</w:t>
            </w:r>
          </w:p>
        </w:tc>
        <w:tc>
          <w:tcPr>
            <w:tcW w:w="709" w:type="dxa"/>
            <w:vAlign w:val="center"/>
          </w:tcPr>
          <w:p>
            <w:pPr>
              <w:widowControl/>
              <w:jc w:val="left"/>
              <w:rPr>
                <w:rFonts w:hint="default" w:eastAsia="宋体"/>
                <w:szCs w:val="21"/>
                <w:lang w:val="en-US" w:eastAsia="zh-CN"/>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ascii="宋体" w:hAnsi="宋体"/>
                <w:szCs w:val="21"/>
              </w:rPr>
              <w:t>近两年与质量、环境和职业健康安全管理体系等方面是否有违规被处罚、媒体通报情况；</w:t>
            </w:r>
          </w:p>
        </w:tc>
        <w:tc>
          <w:tcPr>
            <w:tcW w:w="960" w:type="dxa"/>
            <w:vAlign w:val="center"/>
          </w:tcPr>
          <w:p>
            <w:pPr>
              <w:widowControl/>
              <w:jc w:val="left"/>
              <w:rPr>
                <w:szCs w:val="21"/>
              </w:rPr>
            </w:pPr>
          </w:p>
        </w:tc>
        <w:tc>
          <w:tcPr>
            <w:tcW w:w="10880" w:type="dxa"/>
            <w:vAlign w:val="center"/>
          </w:tcPr>
          <w:p>
            <w:pPr>
              <w:ind w:firstLine="420" w:firstLineChars="200"/>
              <w:rPr>
                <w:szCs w:val="21"/>
              </w:rPr>
            </w:pPr>
            <w:r>
              <w:rPr>
                <w:rFonts w:hint="eastAsia" w:ascii="宋体" w:hAnsi="宋体"/>
                <w:szCs w:val="21"/>
              </w:rPr>
              <w:t>审核过程中确认，近年来，该企业无质量、环境和职业健康安全管理体系等方面违规被处罚、媒体通报情况。</w:t>
            </w:r>
          </w:p>
          <w:p>
            <w:pPr>
              <w:pStyle w:val="2"/>
              <w:rPr>
                <w:rFonts w:hint="eastAsia"/>
                <w:szCs w:val="21"/>
                <w:lang w:val="en-US" w:eastAsia="zh-CN"/>
              </w:rPr>
            </w:pPr>
            <w:r>
              <w:rPr>
                <w:rFonts w:hint="eastAsia" w:ascii="宋体" w:hAnsi="宋体"/>
                <w:szCs w:val="21"/>
              </w:rPr>
              <w:t>内部沟通良好、</w:t>
            </w:r>
            <w:r>
              <w:rPr>
                <w:rFonts w:hint="eastAsia"/>
                <w:szCs w:val="21"/>
              </w:rPr>
              <w:t>外部提供过程的管理、</w:t>
            </w:r>
            <w:r>
              <w:rPr>
                <w:rFonts w:hint="eastAsia" w:ascii="宋体" w:hAnsi="宋体"/>
                <w:szCs w:val="21"/>
              </w:rPr>
              <w:t>顾客沟通及客户满意及员工及相关方的报怨、投诉的处理情况，二阶段详查</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2160" w:type="dxa"/>
            <w:vAlign w:val="center"/>
          </w:tcPr>
          <w:p>
            <w:pPr>
              <w:spacing w:line="400" w:lineRule="exact"/>
              <w:rPr>
                <w:szCs w:val="21"/>
              </w:rPr>
            </w:pPr>
            <w:r>
              <w:rPr>
                <w:rFonts w:hint="eastAsia"/>
                <w:szCs w:val="21"/>
              </w:rPr>
              <w:t>管理体系运行起始日</w:t>
            </w:r>
          </w:p>
          <w:p>
            <w:pPr>
              <w:spacing w:line="400" w:lineRule="exact"/>
              <w:rPr>
                <w:color w:val="FF0000"/>
                <w:szCs w:val="21"/>
              </w:rPr>
            </w:pPr>
            <w:r>
              <w:rPr>
                <w:rFonts w:hint="eastAsia"/>
                <w:szCs w:val="21"/>
              </w:rPr>
              <w:t>确认组织实际与管理体系文件描述的一致性</w:t>
            </w:r>
          </w:p>
          <w:p>
            <w:pPr>
              <w:spacing w:line="400" w:lineRule="exact"/>
              <w:rPr>
                <w:rFonts w:hint="eastAsia"/>
                <w:szCs w:val="21"/>
              </w:rPr>
            </w:pPr>
            <w:r>
              <w:rPr>
                <w:rFonts w:hint="eastAsia"/>
                <w:szCs w:val="21"/>
              </w:rPr>
              <w:t>组织机构（如部门设置和负责人，服务过程）</w:t>
            </w:r>
          </w:p>
        </w:tc>
        <w:tc>
          <w:tcPr>
            <w:tcW w:w="960" w:type="dxa"/>
            <w:vAlign w:val="center"/>
          </w:tcPr>
          <w:p>
            <w:pPr>
              <w:widowControl/>
              <w:jc w:val="left"/>
              <w:rPr>
                <w:szCs w:val="21"/>
              </w:rPr>
            </w:pPr>
          </w:p>
        </w:tc>
        <w:tc>
          <w:tcPr>
            <w:tcW w:w="10880" w:type="dxa"/>
            <w:vAlign w:val="center"/>
          </w:tcPr>
          <w:p>
            <w:pPr>
              <w:spacing w:line="360" w:lineRule="auto"/>
              <w:jc w:val="left"/>
              <w:rPr>
                <w:rFonts w:hint="eastAsia" w:ascii="宋体" w:hAnsi="宋体"/>
                <w:szCs w:val="21"/>
              </w:rPr>
            </w:pPr>
            <w:r>
              <w:rPr>
                <w:rFonts w:hint="eastAsia" w:ascii="宋体" w:hAnsi="宋体"/>
                <w:szCs w:val="21"/>
              </w:rPr>
              <w:t>质量环境职业健康安全管理体系</w:t>
            </w:r>
            <w:r>
              <w:rPr>
                <w:rFonts w:hint="eastAsia" w:ascii="宋体" w:hAnsi="宋体" w:eastAsia="宋体" w:cs="Times New Roman"/>
                <w:szCs w:val="21"/>
              </w:rPr>
              <w:t>于2020-0</w:t>
            </w:r>
            <w:r>
              <w:rPr>
                <w:rFonts w:hint="eastAsia" w:ascii="宋体" w:hAnsi="宋体" w:cs="Times New Roman"/>
                <w:szCs w:val="21"/>
                <w:lang w:val="en-US" w:eastAsia="zh-CN"/>
              </w:rPr>
              <w:t>6</w:t>
            </w:r>
            <w:r>
              <w:rPr>
                <w:rFonts w:hint="eastAsia" w:ascii="宋体" w:hAnsi="宋体" w:eastAsia="宋体" w:cs="Times New Roman"/>
                <w:szCs w:val="21"/>
              </w:rPr>
              <w:t>-1建立</w:t>
            </w:r>
            <w:r>
              <w:rPr>
                <w:rFonts w:hint="eastAsia" w:ascii="宋体" w:hAnsi="宋体"/>
                <w:szCs w:val="21"/>
              </w:rPr>
              <w:t>并正式实施。</w:t>
            </w:r>
          </w:p>
          <w:p>
            <w:pPr>
              <w:spacing w:line="360" w:lineRule="auto"/>
              <w:rPr>
                <w:rFonts w:hint="default" w:ascii="宋体" w:hAnsi="宋体" w:eastAsia="宋体"/>
                <w:szCs w:val="21"/>
                <w:lang w:val="en-US" w:eastAsia="zh-CN"/>
              </w:rPr>
            </w:pPr>
            <w:r>
              <w:rPr>
                <w:rFonts w:hint="eastAsia"/>
              </w:rPr>
              <w:t>最管理者，</w:t>
            </w:r>
            <w:r>
              <w:rPr>
                <w:rFonts w:hint="eastAsia" w:asciiTheme="minorEastAsia" w:hAnsiTheme="minorEastAsia" w:eastAsiaTheme="minorEastAsia" w:cstheme="minorEastAsia"/>
                <w:sz w:val="21"/>
                <w:szCs w:val="21"/>
                <w:lang w:val="en-US" w:eastAsia="zh-CN"/>
              </w:rPr>
              <w:t>总经理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王霞  管代：陈华英 </w:t>
            </w:r>
            <w:r>
              <w:rPr>
                <w:rFonts w:hint="eastAsia"/>
                <w:lang w:val="en-US" w:eastAsia="zh-CN"/>
              </w:rPr>
              <w:t xml:space="preserve"> </w:t>
            </w:r>
            <w:r>
              <w:rPr>
                <w:rFonts w:hint="eastAsia"/>
              </w:rPr>
              <w:t>，职业健康安全事务代表</w:t>
            </w:r>
            <w:r>
              <w:rPr>
                <w:rFonts w:hint="eastAsia"/>
                <w:lang w:eastAsia="zh-CN"/>
              </w:rPr>
              <w:t xml:space="preserve">： </w:t>
            </w:r>
            <w:r>
              <w:rPr>
                <w:rFonts w:hint="eastAsia"/>
                <w:lang w:val="en-US" w:eastAsia="zh-CN"/>
              </w:rPr>
              <w:t>胡烨、龚端</w:t>
            </w:r>
          </w:p>
          <w:p>
            <w:pPr>
              <w:rPr>
                <w:rFonts w:hint="eastAsia" w:ascii="宋体" w:hAnsi="宋体"/>
                <w:szCs w:val="21"/>
              </w:rPr>
            </w:pPr>
            <w:r>
              <w:rPr>
                <w:rFonts w:hint="eastAsia" w:ascii="宋体" w:hAnsi="宋体"/>
                <w:szCs w:val="21"/>
              </w:rPr>
              <w:t>组织机构：</w:t>
            </w:r>
            <w:r>
              <w:rPr>
                <w:rFonts w:hint="eastAsia" w:ascii="宋体" w:hAnsi="宋体" w:cs="Times New Roman"/>
                <w:sz w:val="21"/>
                <w:szCs w:val="21"/>
              </w:rPr>
              <w:t>管理层、综合</w:t>
            </w:r>
            <w:r>
              <w:rPr>
                <w:rFonts w:hint="eastAsia" w:ascii="宋体" w:hAnsi="宋体" w:cs="Times New Roman"/>
                <w:sz w:val="21"/>
                <w:szCs w:val="21"/>
                <w:lang w:val="en-US" w:eastAsia="zh-CN"/>
              </w:rPr>
              <w:t>服务</w:t>
            </w:r>
            <w:r>
              <w:rPr>
                <w:rFonts w:hint="eastAsia" w:ascii="宋体" w:hAnsi="宋体" w:cs="Times New Roman"/>
                <w:sz w:val="21"/>
                <w:szCs w:val="21"/>
              </w:rPr>
              <w:t>部、</w:t>
            </w:r>
            <w:r>
              <w:rPr>
                <w:rFonts w:hint="eastAsia" w:ascii="宋体" w:hAnsi="宋体" w:cs="Times New Roman"/>
                <w:sz w:val="21"/>
                <w:szCs w:val="21"/>
                <w:lang w:val="en-US" w:eastAsia="zh-CN"/>
              </w:rPr>
              <w:t>财务</w:t>
            </w:r>
            <w:r>
              <w:rPr>
                <w:rFonts w:hint="eastAsia" w:ascii="宋体" w:hAnsi="宋体" w:cs="Times New Roman"/>
                <w:sz w:val="21"/>
                <w:szCs w:val="21"/>
              </w:rPr>
              <w:t>部、技术</w:t>
            </w:r>
            <w:r>
              <w:rPr>
                <w:rFonts w:hint="eastAsia" w:ascii="宋体" w:hAnsi="宋体" w:cs="Times New Roman"/>
                <w:sz w:val="21"/>
                <w:szCs w:val="21"/>
                <w:lang w:val="en-US" w:eastAsia="zh-CN"/>
              </w:rPr>
              <w:t>支持</w:t>
            </w:r>
            <w:r>
              <w:rPr>
                <w:rFonts w:hint="eastAsia" w:ascii="宋体" w:hAnsi="宋体" w:cs="Times New Roman"/>
                <w:sz w:val="21"/>
                <w:szCs w:val="21"/>
              </w:rPr>
              <w:t>部、</w:t>
            </w:r>
            <w:r>
              <w:rPr>
                <w:rFonts w:hint="eastAsia" w:ascii="宋体" w:hAnsi="宋体" w:cs="Times New Roman"/>
                <w:sz w:val="21"/>
                <w:szCs w:val="21"/>
                <w:lang w:val="en-US" w:eastAsia="zh-CN"/>
              </w:rPr>
              <w:t>市场营销</w:t>
            </w:r>
            <w:r>
              <w:rPr>
                <w:rFonts w:hint="eastAsia" w:ascii="宋体" w:hAnsi="宋体" w:cs="Times New Roman"/>
                <w:sz w:val="21"/>
                <w:szCs w:val="21"/>
              </w:rPr>
              <w:t>部、工程</w:t>
            </w:r>
            <w:r>
              <w:rPr>
                <w:rFonts w:hint="eastAsia" w:ascii="宋体" w:hAnsi="宋体" w:cs="Times New Roman"/>
                <w:sz w:val="21"/>
                <w:szCs w:val="21"/>
                <w:lang w:val="en-US" w:eastAsia="zh-CN"/>
              </w:rPr>
              <w:t>服务</w:t>
            </w:r>
            <w:r>
              <w:rPr>
                <w:rFonts w:hint="eastAsia" w:ascii="宋体" w:hAnsi="宋体" w:cs="Times New Roman"/>
                <w:sz w:val="21"/>
                <w:szCs w:val="21"/>
              </w:rPr>
              <w:t>部</w:t>
            </w:r>
            <w:r>
              <w:rPr>
                <w:rFonts w:hint="eastAsia" w:ascii="宋体" w:hAnsi="宋体" w:cs="Times New Roman"/>
                <w:sz w:val="21"/>
                <w:szCs w:val="21"/>
                <w:lang w:eastAsia="zh-CN"/>
              </w:rPr>
              <w:t>、</w:t>
            </w:r>
            <w:r>
              <w:rPr>
                <w:rFonts w:hint="eastAsia" w:ascii="宋体" w:hAnsi="宋体" w:cs="Times New Roman"/>
                <w:sz w:val="21"/>
                <w:szCs w:val="21"/>
                <w:lang w:val="en-US" w:eastAsia="zh-CN"/>
              </w:rPr>
              <w:t>项目部</w:t>
            </w:r>
            <w:r>
              <w:rPr>
                <w:rFonts w:hint="eastAsia" w:ascii="宋体" w:hAnsi="宋体"/>
                <w:szCs w:val="21"/>
              </w:rPr>
              <w:t>。</w:t>
            </w:r>
          </w:p>
          <w:p>
            <w:pPr>
              <w:spacing w:line="360" w:lineRule="auto"/>
              <w:jc w:val="left"/>
              <w:rPr>
                <w:color w:val="000000"/>
                <w:szCs w:val="21"/>
              </w:rPr>
            </w:pPr>
            <w:r>
              <w:rPr>
                <w:rFonts w:hint="eastAsia" w:ascii="宋体" w:hAnsi="宋体"/>
                <w:szCs w:val="21"/>
              </w:rPr>
              <w:t>组织</w:t>
            </w:r>
            <w:r>
              <w:rPr>
                <w:rFonts w:hint="eastAsia" w:ascii="宋体" w:hAnsi="宋体"/>
                <w:szCs w:val="21"/>
                <w:lang w:val="en-US" w:eastAsia="zh-CN"/>
              </w:rPr>
              <w:t>机构</w:t>
            </w:r>
            <w:r>
              <w:rPr>
                <w:rFonts w:hint="eastAsia" w:ascii="宋体" w:hAnsi="宋体"/>
                <w:szCs w:val="21"/>
              </w:rPr>
              <w:t>实际与管理体系文件描述的</w:t>
            </w:r>
            <w:r>
              <w:rPr>
                <w:rFonts w:hint="eastAsia" w:ascii="宋体" w:hAnsi="宋体"/>
                <w:szCs w:val="21"/>
                <w:lang w:val="en-US" w:eastAsia="zh-CN"/>
              </w:rPr>
              <w:t>不</w:t>
            </w:r>
            <w:r>
              <w:rPr>
                <w:rFonts w:hint="eastAsia" w:ascii="宋体" w:hAnsi="宋体"/>
                <w:szCs w:val="21"/>
              </w:rPr>
              <w:t>一致性</w:t>
            </w:r>
            <w:r>
              <w:rPr>
                <w:rFonts w:hint="eastAsia" w:ascii="宋体" w:hAnsi="宋体"/>
                <w:szCs w:val="21"/>
                <w:lang w:eastAsia="zh-CN"/>
              </w:rPr>
              <w:t>，</w:t>
            </w:r>
            <w:r>
              <w:rPr>
                <w:rFonts w:hint="eastAsia" w:ascii="宋体" w:hAnsi="宋体"/>
                <w:szCs w:val="21"/>
                <w:lang w:val="en-US" w:eastAsia="zh-CN"/>
              </w:rPr>
              <w:t>已改正。</w:t>
            </w:r>
          </w:p>
          <w:p>
            <w:pPr>
              <w:spacing w:line="360" w:lineRule="auto"/>
              <w:jc w:val="left"/>
              <w:rPr>
                <w:rFonts w:hint="eastAsia" w:ascii="宋体" w:hAnsi="宋体" w:eastAsia="宋体" w:cs="Times New Roman"/>
                <w:szCs w:val="21"/>
              </w:rPr>
            </w:pP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2160" w:type="dxa"/>
            <w:vAlign w:val="center"/>
          </w:tcPr>
          <w:p>
            <w:pPr>
              <w:rPr>
                <w:szCs w:val="21"/>
              </w:rPr>
            </w:pPr>
            <w:r>
              <w:rPr>
                <w:rFonts w:hint="eastAsia" w:ascii="宋体" w:hAnsi="宋体"/>
                <w:szCs w:val="21"/>
              </w:rPr>
              <w:t>审核范围的确认</w:t>
            </w:r>
          </w:p>
          <w:p>
            <w:pPr>
              <w:spacing w:line="400" w:lineRule="exact"/>
              <w:rPr>
                <w:rFonts w:hint="eastAsia" w:ascii="宋体" w:hAnsi="宋体"/>
                <w:szCs w:val="21"/>
              </w:rPr>
            </w:pPr>
          </w:p>
        </w:tc>
        <w:tc>
          <w:tcPr>
            <w:tcW w:w="960" w:type="dxa"/>
            <w:vAlign w:val="center"/>
          </w:tcPr>
          <w:p>
            <w:pPr>
              <w:widowControl/>
              <w:jc w:val="left"/>
              <w:rPr>
                <w:szCs w:val="21"/>
              </w:rPr>
            </w:pPr>
          </w:p>
        </w:tc>
        <w:tc>
          <w:tcPr>
            <w:tcW w:w="10880" w:type="dxa"/>
            <w:vAlign w:val="center"/>
          </w:tcPr>
          <w:p>
            <w:pPr>
              <w:spacing w:line="360" w:lineRule="auto"/>
              <w:jc w:val="left"/>
              <w:rPr>
                <w:rFonts w:hint="eastAsia"/>
              </w:rPr>
            </w:pPr>
            <w:r>
              <w:rPr>
                <w:rFonts w:hint="eastAsia"/>
              </w:rPr>
              <w:t>现场确认范围</w:t>
            </w:r>
          </w:p>
          <w:p>
            <w:pPr>
              <w:spacing w:line="360" w:lineRule="auto"/>
              <w:jc w:val="left"/>
              <w:rPr>
                <w:rFonts w:hint="eastAsia" w:eastAsiaTheme="minorEastAsia"/>
                <w:lang w:val="en-US" w:eastAsia="zh-CN"/>
              </w:rPr>
            </w:pPr>
            <w:r>
              <w:rPr>
                <w:rFonts w:hint="eastAsia"/>
              </w:rPr>
              <w:t>EC ：</w:t>
            </w:r>
            <w:r>
              <w:rPr>
                <w:rFonts w:hint="eastAsia" w:asciiTheme="minorEastAsia" w:hAnsiTheme="minorEastAsia" w:eastAsiaTheme="minorEastAsia" w:cstheme="minorEastAsia"/>
                <w:sz w:val="21"/>
                <w:szCs w:val="21"/>
              </w:rPr>
              <w:t>建筑智能化工程的施工（仅限资质范围内）</w:t>
            </w:r>
            <w:r>
              <w:rPr>
                <w:rFonts w:hint="eastAsia" w:asciiTheme="minorEastAsia" w:hAnsiTheme="minorEastAsia" w:eastAsiaTheme="minorEastAsia" w:cstheme="minorEastAsia"/>
                <w:sz w:val="21"/>
                <w:szCs w:val="21"/>
                <w:lang w:val="en-US" w:eastAsia="zh-CN"/>
              </w:rPr>
              <w:t xml:space="preserve"> </w:t>
            </w:r>
          </w:p>
          <w:p>
            <w:pPr>
              <w:rPr>
                <w:rFonts w:hint="eastAsia" w:asciiTheme="minorEastAsia" w:hAnsiTheme="minorEastAsia" w:eastAsiaTheme="minorEastAsia" w:cstheme="minorEastAsia"/>
                <w:sz w:val="21"/>
                <w:szCs w:val="21"/>
              </w:rPr>
            </w:pPr>
            <w:r>
              <w:rPr>
                <w:rFonts w:hint="eastAsia"/>
              </w:rPr>
              <w:t>E：</w:t>
            </w:r>
            <w:r>
              <w:rPr>
                <w:rFonts w:hint="eastAsia" w:asciiTheme="minorEastAsia" w:hAnsiTheme="minorEastAsia" w:eastAsiaTheme="minorEastAsia" w:cstheme="minorEastAsia"/>
                <w:sz w:val="21"/>
                <w:szCs w:val="21"/>
              </w:rPr>
              <w:t>建筑智能化工程的施工（仅限资质范围内）及其场所所涉及的环境管理活动</w:t>
            </w:r>
          </w:p>
          <w:p>
            <w:pPr>
              <w:spacing w:line="360" w:lineRule="auto"/>
              <w:jc w:val="left"/>
              <w:rPr>
                <w:rFonts w:hint="eastAsia"/>
                <w:lang w:eastAsia="zh-CN"/>
              </w:rPr>
            </w:pPr>
            <w:r>
              <w:rPr>
                <w:rFonts w:hint="eastAsia"/>
              </w:rPr>
              <w:t>O：</w:t>
            </w:r>
            <w:r>
              <w:rPr>
                <w:rFonts w:hint="eastAsia" w:asciiTheme="minorEastAsia" w:hAnsiTheme="minorEastAsia" w:eastAsiaTheme="minorEastAsia" w:cstheme="minorEastAsia"/>
                <w:sz w:val="21"/>
                <w:szCs w:val="21"/>
              </w:rPr>
              <w:t>建筑智能化工程的施工（仅限资质范围内）及其场所所涉及的职业健康安全管理活动</w:t>
            </w:r>
          </w:p>
          <w:p>
            <w:pPr>
              <w:spacing w:line="360" w:lineRule="auto"/>
              <w:ind w:firstLine="420" w:firstLineChars="200"/>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因为该公司主要为</w:t>
            </w:r>
            <w:r>
              <w:rPr>
                <w:rFonts w:hint="eastAsia" w:asciiTheme="minorEastAsia" w:hAnsiTheme="minorEastAsia" w:eastAsiaTheme="minorEastAsia" w:cstheme="minorEastAsia"/>
                <w:sz w:val="21"/>
                <w:szCs w:val="21"/>
              </w:rPr>
              <w:t>建筑智能化工程的施工（仅限资质范围内）</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lang w:val="de-DE"/>
              </w:rPr>
              <w:t>GB/T19001-2016</w:t>
            </w:r>
            <w:r>
              <w:rPr>
                <w:rFonts w:hint="eastAsia" w:ascii="Times New Roman" w:hAnsi="Times New Roman" w:eastAsia="宋体" w:cs="Times New Roman"/>
                <w:szCs w:val="22"/>
                <w:lang w:val="en-US" w:eastAsia="zh-CN"/>
              </w:rPr>
              <w:t>删减</w:t>
            </w:r>
            <w:r>
              <w:rPr>
                <w:rFonts w:hint="eastAsia" w:cs="Times New Roman"/>
                <w:szCs w:val="22"/>
                <w:lang w:val="en-US" w:eastAsia="zh-CN"/>
              </w:rPr>
              <w:t>8.3条款</w:t>
            </w:r>
            <w:r>
              <w:rPr>
                <w:rFonts w:hint="eastAsia" w:ascii="Times New Roman" w:hAnsi="Times New Roman" w:eastAsia="宋体" w:cs="Times New Roman"/>
                <w:szCs w:val="22"/>
                <w:lang w:val="en-US" w:eastAsia="zh-CN"/>
              </w:rPr>
              <w:t>；</w:t>
            </w:r>
            <w:r>
              <w:rPr>
                <w:rFonts w:hint="eastAsia" w:ascii="Times New Roman" w:hAnsi="Times New Roman" w:eastAsia="宋体" w:cs="Times New Roman"/>
                <w:szCs w:val="22"/>
                <w:lang w:val="de-DE"/>
              </w:rPr>
              <w:t>GB/T50430-2017</w:t>
            </w:r>
            <w:r>
              <w:rPr>
                <w:rFonts w:hint="eastAsia" w:ascii="Times New Roman" w:hAnsi="Times New Roman" w:eastAsia="宋体" w:cs="Times New Roman"/>
                <w:szCs w:val="22"/>
                <w:lang w:val="en-US" w:eastAsia="zh-CN"/>
              </w:rPr>
              <w:t>删减</w:t>
            </w:r>
            <w:r>
              <w:rPr>
                <w:rFonts w:hint="eastAsia" w:ascii="Times New Roman" w:hAnsi="Times New Roman" w:eastAsia="宋体" w:cs="Times New Roman"/>
                <w:szCs w:val="22"/>
                <w:lang w:val="de-DE"/>
              </w:rPr>
              <w:t>的10.3条款</w:t>
            </w:r>
            <w:r>
              <w:rPr>
                <w:rFonts w:hint="eastAsia" w:ascii="Times New Roman" w:hAnsi="Times New Roman" w:eastAsia="宋体" w:cs="Times New Roman"/>
                <w:szCs w:val="22"/>
                <w:lang w:val="de-DE" w:eastAsia="zh-CN"/>
              </w:rPr>
              <w:t>。</w:t>
            </w:r>
            <w:r>
              <w:rPr>
                <w:rFonts w:hint="eastAsia" w:ascii="宋体" w:hAnsi="宋体" w:eastAsia="宋体" w:cs="宋体"/>
                <w:bCs/>
                <w:color w:val="auto"/>
                <w:sz w:val="21"/>
                <w:szCs w:val="21"/>
              </w:rPr>
              <w:t>说明:</w:t>
            </w:r>
            <w:r>
              <w:rPr>
                <w:rFonts w:hint="eastAsia" w:ascii="宋体" w:hAnsi="宋体" w:eastAsia="宋体" w:cs="宋体"/>
                <w:color w:val="auto"/>
                <w:sz w:val="21"/>
                <w:szCs w:val="21"/>
              </w:rPr>
              <w:t>公司所承建的工程项目，工程设计阶段均是由建设单位委托设计单位承担，所以本手册对GB/T19001-2016标准8.3条款和GB/T50430-2017规范10.3条款的要求予以删减。该删减既不影响公司提供满足行业标准和客户要求的工程项目，也不减少公司满足法律和法规要求的责任（在建筑施工前有对图纸进行会审及建筑施工过程中提出设计更改的权利与义务）</w:t>
            </w:r>
            <w:r>
              <w:rPr>
                <w:rFonts w:hint="eastAsia" w:ascii="宋体" w:hAnsi="宋体" w:eastAsia="宋体" w:cs="宋体"/>
                <w:color w:val="auto"/>
                <w:sz w:val="21"/>
                <w:szCs w:val="21"/>
                <w:lang w:eastAsia="zh-CN"/>
              </w:rPr>
              <w:t>。</w:t>
            </w:r>
          </w:p>
          <w:p>
            <w:pPr>
              <w:pStyle w:val="2"/>
              <w:rPr>
                <w:rFonts w:hint="default"/>
                <w:lang w:val="en-US" w:eastAsia="zh-CN"/>
              </w:rPr>
            </w:pPr>
            <w:r>
              <w:rPr>
                <w:rFonts w:hint="eastAsia" w:ascii="宋体" w:hAnsi="宋体" w:eastAsia="宋体" w:cs="宋体"/>
                <w:lang w:val="en-US" w:eastAsia="zh-CN"/>
              </w:rPr>
              <w:t>无外包，详见二阶段记录。</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szCs w:val="21"/>
              </w:rPr>
            </w:pPr>
            <w:r>
              <w:rPr>
                <w:rFonts w:hint="eastAsia"/>
                <w:szCs w:val="21"/>
              </w:rPr>
              <w:t>风险和机遇的识别、企业内外部环境分析及相关方的需求和知识</w:t>
            </w:r>
          </w:p>
        </w:tc>
        <w:tc>
          <w:tcPr>
            <w:tcW w:w="960" w:type="dxa"/>
            <w:vAlign w:val="center"/>
          </w:tcPr>
          <w:p>
            <w:pPr>
              <w:widowControl/>
              <w:spacing w:line="360" w:lineRule="auto"/>
              <w:jc w:val="left"/>
              <w:rPr>
                <w:szCs w:val="21"/>
              </w:rPr>
            </w:pPr>
          </w:p>
        </w:tc>
        <w:tc>
          <w:tcPr>
            <w:tcW w:w="10880" w:type="dxa"/>
            <w:vAlign w:val="center"/>
          </w:tcPr>
          <w:p>
            <w:pPr>
              <w:spacing w:line="360" w:lineRule="auto"/>
              <w:rPr>
                <w:szCs w:val="21"/>
              </w:rPr>
            </w:pPr>
            <w:r>
              <w:rPr>
                <w:rFonts w:hint="eastAsia"/>
                <w:szCs w:val="21"/>
              </w:rPr>
              <w:t>公司制定管理手册中，明确风险和机遇事件的识别方法</w:t>
            </w:r>
            <w:r>
              <w:rPr>
                <w:szCs w:val="21"/>
              </w:rPr>
              <w:t>/</w:t>
            </w:r>
            <w:r>
              <w:rPr>
                <w:rFonts w:hint="eastAsia"/>
                <w:szCs w:val="21"/>
              </w:rPr>
              <w:t>途径、风险和机遇事件的评估方式、制定主要风险和机遇事件的应对措施的要求、评价这些措施有效性的方法。</w:t>
            </w:r>
          </w:p>
          <w:p>
            <w:pPr>
              <w:spacing w:line="360" w:lineRule="auto"/>
              <w:ind w:firstLine="420" w:firstLineChars="200"/>
              <w:rPr>
                <w:rFonts w:hint="eastAsia"/>
                <w:szCs w:val="21"/>
                <w:lang w:val="en-US" w:eastAsia="zh-CN"/>
              </w:rPr>
            </w:pPr>
            <w:r>
              <w:rPr>
                <w:rFonts w:hint="eastAsia"/>
                <w:szCs w:val="21"/>
              </w:rPr>
              <w:t>制定了</w:t>
            </w:r>
            <w:r>
              <w:rPr>
                <w:rFonts w:hint="eastAsia"/>
                <w:szCs w:val="21"/>
                <w:lang w:eastAsia="zh-CN"/>
              </w:rPr>
              <w:t>“</w:t>
            </w:r>
            <w:r>
              <w:rPr>
                <w:rFonts w:hint="eastAsia"/>
                <w:szCs w:val="21"/>
              </w:rPr>
              <w:t>风险和机遇分析、评价和应对措施的确定程序</w:t>
            </w:r>
            <w:r>
              <w:rPr>
                <w:rFonts w:hint="eastAsia"/>
                <w:szCs w:val="21"/>
                <w:lang w:eastAsia="zh-CN"/>
              </w:rPr>
              <w:t>”</w:t>
            </w:r>
            <w:r>
              <w:rPr>
                <w:rFonts w:hint="eastAsia"/>
                <w:szCs w:val="21"/>
              </w:rPr>
              <w:t>，提供“风险与机遇评价与应对策划表”，按照</w:t>
            </w:r>
            <w:r>
              <w:rPr>
                <w:rFonts w:hint="eastAsia"/>
                <w:szCs w:val="21"/>
                <w:lang w:val="en-US" w:eastAsia="zh-CN"/>
              </w:rPr>
              <w:t>施工、</w:t>
            </w:r>
            <w:r>
              <w:rPr>
                <w:rFonts w:hint="eastAsia"/>
                <w:szCs w:val="21"/>
              </w:rPr>
              <w:t>销售、采购、支持过程</w:t>
            </w:r>
            <w:r>
              <w:rPr>
                <w:szCs w:val="21"/>
              </w:rPr>
              <w:t>/</w:t>
            </w:r>
            <w:r>
              <w:rPr>
                <w:rFonts w:hint="eastAsia"/>
                <w:szCs w:val="21"/>
              </w:rPr>
              <w:t>部门对风险和机遇进行了评价识别，并制定应对措施。二阶段详查。</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szCs w:val="21"/>
              </w:rPr>
            </w:pPr>
            <w:r>
              <w:rPr>
                <w:rFonts w:hint="eastAsia"/>
                <w:szCs w:val="21"/>
              </w:rPr>
              <w:t>相关法律法规</w:t>
            </w:r>
          </w:p>
          <w:p>
            <w:pPr>
              <w:pStyle w:val="2"/>
              <w:rPr>
                <w:rFonts w:hint="default" w:eastAsia="宋体"/>
                <w:lang w:val="en-US" w:eastAsia="zh-CN"/>
              </w:rPr>
            </w:pPr>
            <w:r>
              <w:rPr>
                <w:rFonts w:hint="eastAsia"/>
                <w:szCs w:val="21"/>
                <w:lang w:val="en-US" w:eastAsia="zh-CN"/>
              </w:rPr>
              <w:t>合规性评价</w:t>
            </w:r>
          </w:p>
          <w:p>
            <w:pPr>
              <w:spacing w:line="360" w:lineRule="auto"/>
              <w:rPr>
                <w:rFonts w:hint="eastAsia"/>
                <w:szCs w:val="21"/>
              </w:rPr>
            </w:pPr>
          </w:p>
        </w:tc>
        <w:tc>
          <w:tcPr>
            <w:tcW w:w="960" w:type="dxa"/>
            <w:vAlign w:val="center"/>
          </w:tcPr>
          <w:p>
            <w:pPr>
              <w:widowControl/>
              <w:spacing w:line="360" w:lineRule="auto"/>
              <w:jc w:val="left"/>
              <w:rPr>
                <w:szCs w:val="21"/>
              </w:rPr>
            </w:pPr>
          </w:p>
        </w:tc>
        <w:tc>
          <w:tcPr>
            <w:tcW w:w="10880" w:type="dxa"/>
            <w:vAlign w:val="center"/>
          </w:tcPr>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综合</w:t>
            </w:r>
            <w:r>
              <w:rPr>
                <w:rFonts w:hint="eastAsia" w:cs="Times New Roman"/>
                <w:szCs w:val="21"/>
                <w:lang w:val="en-US" w:eastAsia="zh-CN"/>
              </w:rPr>
              <w:t>服务部</w:t>
            </w:r>
            <w:r>
              <w:rPr>
                <w:rFonts w:hint="eastAsia" w:ascii="Times New Roman" w:hAnsi="Times New Roman" w:eastAsia="宋体" w:cs="Times New Roman"/>
                <w:szCs w:val="21"/>
              </w:rPr>
              <w:t>负责法律法规的收集、更新；查有《法律、法规及其他要求清单》，对本公司环境和职业健康安全管理体系适用的法律法规和当地政府、行业要求进行了识别，包括环境质量标准、排放标准、职业健康安全卫生标准等。收集技术标准</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施工管理规范、施工技术规程、检测验收规范，职业健康安全法规、环保施工标准……</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计算机网络标准TIA/EIA-568B</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CECS 89:97建筑与建筑综合布线系统工程施工和验收规范</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智能建筑设计标准GB/T 50314-2000</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计算机机房设计规范GB 50174-93</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建筑设计防火规范GB J16-87</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民用建筑电气设计规范JGJ/T 16-92</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建筑与建筑群综合布线系统工程设计规范CECS 72:97</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建筑与建筑群综合布线系统工程施工及验收规范CECS8997</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安全防范工程程序与要求GA/T75-94</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金属线槽配线安装工艺标准313-1998</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建筑与建筑群综合布线系统工程施工及验收规范CECS 89:97</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中国工程建筑标准化协会的《建筑与建筑群综合布线系统工程施工规范》</w:t>
            </w:r>
          </w:p>
          <w:p>
            <w:pPr>
              <w:spacing w:line="360" w:lineRule="auto"/>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依据验收交付规范、合同、相关标准、用户要求等进行接收。</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有《合规义务管理制度》，规定明确基本合理。</w:t>
            </w:r>
            <w:r>
              <w:rPr>
                <w:rFonts w:hint="eastAsia" w:ascii="Times New Roman" w:hAnsi="Times New Roman" w:eastAsia="宋体" w:cs="Times New Roman"/>
                <w:szCs w:val="21"/>
                <w:lang w:eastAsia="zh-CN"/>
              </w:rPr>
              <w:t>综合部</w:t>
            </w:r>
            <w:r>
              <w:rPr>
                <w:rFonts w:hint="eastAsia" w:ascii="Times New Roman" w:hAnsi="Times New Roman" w:eastAsia="宋体" w:cs="Times New Roman"/>
                <w:szCs w:val="21"/>
              </w:rPr>
              <w:t>组织对公司环境安全健康管理活动，遵守相关法律法规和其他要求情况进行评价，评价结果符合相关法律法规和其他要求，无违法违规情况并保持有合规性评价记录。</w:t>
            </w:r>
          </w:p>
          <w:p>
            <w:pPr>
              <w:spacing w:line="360" w:lineRule="auto"/>
              <w:ind w:firstLine="420" w:firstLineChars="200"/>
              <w:rPr>
                <w:rFonts w:hint="eastAsia"/>
                <w:szCs w:val="21"/>
              </w:rPr>
            </w:pPr>
            <w:r>
              <w:rPr>
                <w:rFonts w:hint="eastAsia" w:ascii="Times New Roman" w:hAnsi="Times New Roman" w:eastAsia="宋体" w:cs="Times New Roman"/>
                <w:szCs w:val="21"/>
              </w:rPr>
              <w:t>见《合规性评价报告》，详见二阶段。</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hint="eastAsia"/>
                <w:szCs w:val="21"/>
              </w:rPr>
            </w:pPr>
            <w:r>
              <w:rPr>
                <w:rFonts w:hint="eastAsia"/>
                <w:szCs w:val="21"/>
              </w:rPr>
              <w:t>环评报告及环评验收</w:t>
            </w:r>
          </w:p>
        </w:tc>
        <w:tc>
          <w:tcPr>
            <w:tcW w:w="960" w:type="dxa"/>
            <w:vAlign w:val="center"/>
          </w:tcPr>
          <w:p>
            <w:pPr>
              <w:widowControl/>
              <w:spacing w:line="360" w:lineRule="auto"/>
              <w:jc w:val="left"/>
              <w:rPr>
                <w:szCs w:val="21"/>
              </w:rPr>
            </w:pPr>
          </w:p>
        </w:tc>
        <w:tc>
          <w:tcPr>
            <w:tcW w:w="10880" w:type="dxa"/>
            <w:vAlign w:val="center"/>
          </w:tcPr>
          <w:p>
            <w:pPr>
              <w:pStyle w:val="2"/>
              <w:spacing w:line="360" w:lineRule="auto"/>
              <w:rPr>
                <w:rFonts w:hint="default" w:ascii="Times New Roman" w:hAnsi="Times New Roman" w:eastAsia="宋体" w:cs="Times New Roman"/>
                <w:szCs w:val="21"/>
                <w:lang w:val="en-US" w:eastAsia="zh-CN"/>
              </w:rPr>
            </w:pPr>
            <w:r>
              <w:rPr>
                <w:rFonts w:hint="eastAsia" w:cs="Times New Roman"/>
                <w:szCs w:val="21"/>
                <w:lang w:val="en-US" w:eastAsia="zh-CN"/>
              </w:rPr>
              <w:t>无需环评</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产品实现主要工艺</w:t>
            </w:r>
          </w:p>
          <w:p>
            <w:pPr>
              <w:spacing w:line="360" w:lineRule="auto"/>
              <w:rPr>
                <w:rFonts w:hint="eastAsia"/>
                <w:szCs w:val="21"/>
              </w:rPr>
            </w:pPr>
          </w:p>
        </w:tc>
        <w:tc>
          <w:tcPr>
            <w:tcW w:w="960" w:type="dxa"/>
            <w:vAlign w:val="center"/>
          </w:tcPr>
          <w:p>
            <w:pPr>
              <w:widowControl/>
              <w:spacing w:line="360" w:lineRule="auto"/>
              <w:jc w:val="left"/>
              <w:rPr>
                <w:szCs w:val="21"/>
              </w:rPr>
            </w:pPr>
          </w:p>
        </w:tc>
        <w:tc>
          <w:tcPr>
            <w:tcW w:w="10880" w:type="dxa"/>
            <w:vAlign w:val="center"/>
          </w:tcPr>
          <w:p>
            <w:pPr>
              <w:spacing w:line="400" w:lineRule="exact"/>
              <w:ind w:firstLine="420" w:firstLineChars="200"/>
              <w:rPr>
                <w:rFonts w:hint="eastAsia"/>
                <w:lang w:eastAsia="zh-CN"/>
              </w:rPr>
            </w:pPr>
            <w:r>
              <w:rPr>
                <w:rFonts w:hint="eastAsia"/>
                <w:lang w:eastAsia="zh-CN"/>
              </w:rPr>
              <w:t>设备线材、管材等采购</w:t>
            </w:r>
            <w:r>
              <w:rPr>
                <w:rFonts w:hint="default"/>
                <w:lang w:eastAsia="zh-CN"/>
              </w:rPr>
              <w:t>→</w:t>
            </w:r>
            <w:r>
              <w:rPr>
                <w:rFonts w:hint="eastAsia"/>
              </w:rPr>
              <w:t>线缆</w:t>
            </w:r>
            <w:r>
              <w:rPr>
                <w:rFonts w:hint="eastAsia"/>
                <w:lang w:val="en-US" w:eastAsia="zh-CN"/>
              </w:rPr>
              <w:t>铺设</w:t>
            </w:r>
            <w:r>
              <w:rPr>
                <w:rFonts w:hint="default"/>
                <w:lang w:eastAsia="zh-CN"/>
              </w:rPr>
              <w:t>→</w:t>
            </w:r>
            <w:r>
              <w:rPr>
                <w:rFonts w:hint="eastAsia"/>
              </w:rPr>
              <w:t>智能设备安装</w:t>
            </w:r>
            <w:r>
              <w:rPr>
                <w:rFonts w:hint="default"/>
                <w:lang w:eastAsia="zh-CN"/>
              </w:rPr>
              <w:t>→</w:t>
            </w:r>
            <w:r>
              <w:rPr>
                <w:rFonts w:hint="eastAsia"/>
              </w:rPr>
              <w:t>调试</w:t>
            </w:r>
            <w:r>
              <w:rPr>
                <w:rFonts w:hint="default"/>
                <w:lang w:eastAsia="zh-CN"/>
              </w:rPr>
              <w:t>→</w:t>
            </w:r>
            <w:r>
              <w:rPr>
                <w:rFonts w:hint="eastAsia"/>
                <w:lang w:val="en-US" w:eastAsia="zh-CN"/>
              </w:rPr>
              <w:t>验收</w:t>
            </w:r>
          </w:p>
          <w:p>
            <w:pPr>
              <w:spacing w:line="360" w:lineRule="auto"/>
              <w:ind w:firstLine="420" w:firstLineChars="200"/>
              <w:jc w:val="left"/>
              <w:rPr>
                <w:rFonts w:hint="eastAsia"/>
                <w:lang w:val="en-US" w:eastAsia="zh-CN"/>
              </w:rPr>
            </w:pPr>
            <w:r>
              <w:rPr>
                <w:rFonts w:hint="eastAsia"/>
                <w:lang w:val="en-US" w:eastAsia="zh-CN"/>
              </w:rPr>
              <w:t>关键过程：调试</w:t>
            </w:r>
          </w:p>
          <w:p>
            <w:pPr>
              <w:spacing w:line="360" w:lineRule="auto"/>
              <w:ind w:firstLine="420" w:firstLineChars="200"/>
              <w:jc w:val="left"/>
            </w:pPr>
            <w:r>
              <w:rPr>
                <w:rFonts w:hint="eastAsia"/>
              </w:rPr>
              <w:t>隐蔽工程</w:t>
            </w:r>
            <w:r>
              <w:rPr>
                <w:rFonts w:hint="eastAsia"/>
                <w:lang w:eastAsia="zh-CN"/>
              </w:rPr>
              <w:t>：</w:t>
            </w:r>
            <w:r>
              <w:rPr>
                <w:rFonts w:hint="eastAsia"/>
                <w:lang w:val="en-US" w:eastAsia="zh-CN"/>
              </w:rPr>
              <w:t>线缆预留、铺设</w:t>
            </w:r>
          </w:p>
          <w:p>
            <w:pPr>
              <w:widowControl w:val="0"/>
              <w:numPr>
                <w:ilvl w:val="0"/>
                <w:numId w:val="0"/>
              </w:numPr>
              <w:jc w:val="both"/>
              <w:rPr>
                <w:rFonts w:hint="default" w:eastAsiaTheme="minorEastAsia"/>
                <w:lang w:val="en-US" w:eastAsia="zh-CN"/>
              </w:rPr>
            </w:pPr>
            <w:r>
              <w:rPr>
                <w:rFonts w:hint="eastAsia" w:asciiTheme="minorEastAsia" w:hAnsiTheme="minorEastAsia" w:eastAsiaTheme="minorEastAsia" w:cstheme="minorEastAsia"/>
                <w:szCs w:val="22"/>
                <w:lang w:val="en-US" w:eastAsia="zh-CN"/>
              </w:rPr>
              <w:t>管控措施：见</w:t>
            </w:r>
            <w:r>
              <w:rPr>
                <w:rFonts w:hint="eastAsia" w:asciiTheme="minorEastAsia" w:hAnsiTheme="minorEastAsia" w:eastAsiaTheme="minorEastAsia" w:cstheme="minorEastAsia"/>
                <w:szCs w:val="22"/>
              </w:rPr>
              <w:t>施工方案、技术措施</w:t>
            </w:r>
            <w:r>
              <w:rPr>
                <w:rFonts w:hint="eastAsia" w:asciiTheme="minorEastAsia" w:hAnsiTheme="minorEastAsia" w:eastAsiaTheme="minorEastAsia" w:cstheme="minorEastAsia"/>
                <w:szCs w:val="22"/>
                <w:lang w:eastAsia="zh-CN"/>
              </w:rPr>
              <w:t>、</w:t>
            </w:r>
            <w:r>
              <w:rPr>
                <w:rFonts w:hint="eastAsia" w:asciiTheme="minorEastAsia" w:hAnsiTheme="minorEastAsia" w:eastAsiaTheme="minorEastAsia" w:cstheme="minorEastAsia"/>
                <w:szCs w:val="22"/>
                <w:lang w:val="en-US" w:eastAsia="zh-CN"/>
              </w:rPr>
              <w:t>监理见证</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方针、目标、指标和方案情况</w:t>
            </w:r>
          </w:p>
          <w:p>
            <w:pPr>
              <w:spacing w:line="360" w:lineRule="auto"/>
              <w:rPr>
                <w:rFonts w:hint="eastAsia"/>
                <w:szCs w:val="21"/>
              </w:rPr>
            </w:pPr>
          </w:p>
        </w:tc>
        <w:tc>
          <w:tcPr>
            <w:tcW w:w="960" w:type="dxa"/>
            <w:vAlign w:val="center"/>
          </w:tcPr>
          <w:p>
            <w:pPr>
              <w:widowControl/>
              <w:spacing w:line="360" w:lineRule="auto"/>
              <w:jc w:val="left"/>
              <w:rPr>
                <w:szCs w:val="21"/>
              </w:rPr>
            </w:pPr>
          </w:p>
        </w:tc>
        <w:tc>
          <w:tcPr>
            <w:tcW w:w="10880" w:type="dxa"/>
            <w:vAlign w:val="center"/>
          </w:tcPr>
          <w:p>
            <w:pPr>
              <w:rPr>
                <w:rFonts w:hint="eastAsia" w:eastAsia="宋体"/>
                <w:b w:val="0"/>
                <w:bCs w:val="0"/>
                <w:lang w:eastAsia="zh-CN"/>
              </w:rPr>
            </w:pPr>
            <w:r>
              <w:rPr>
                <w:rFonts w:hint="eastAsia" w:ascii="宋体" w:hAnsi="宋体"/>
                <w:b w:val="0"/>
                <w:bCs w:val="0"/>
                <w:kern w:val="21"/>
                <w:sz w:val="21"/>
                <w:szCs w:val="21"/>
              </w:rPr>
              <w:t>质量、环境、职业健康安全方针</w:t>
            </w:r>
            <w:r>
              <w:rPr>
                <w:rFonts w:hint="eastAsia" w:ascii="宋体" w:hAnsi="宋体"/>
                <w:b w:val="0"/>
                <w:bCs w:val="0"/>
                <w:kern w:val="21"/>
                <w:sz w:val="21"/>
                <w:szCs w:val="21"/>
                <w:lang w:eastAsia="zh-CN"/>
              </w:rPr>
              <w:t>：</w:t>
            </w:r>
          </w:p>
          <w:p>
            <w:pPr>
              <w:spacing w:line="340" w:lineRule="exact"/>
              <w:jc w:val="center"/>
              <w:rPr>
                <w:rFonts w:hint="eastAsia" w:ascii="宋体" w:hAnsi="宋体" w:cs="Arial"/>
                <w:b w:val="0"/>
                <w:bCs/>
                <w:szCs w:val="21"/>
              </w:rPr>
            </w:pPr>
            <w:r>
              <w:rPr>
                <w:rFonts w:hint="eastAsia" w:ascii="宋体" w:hAnsi="宋体" w:cs="Arial"/>
                <w:b w:val="0"/>
                <w:bCs/>
                <w:szCs w:val="21"/>
              </w:rPr>
              <w:t>全员参与   规范管理</w:t>
            </w:r>
          </w:p>
          <w:p>
            <w:pPr>
              <w:spacing w:line="340" w:lineRule="exact"/>
              <w:jc w:val="center"/>
              <w:rPr>
                <w:rFonts w:hint="eastAsia" w:ascii="宋体" w:hAnsi="宋体" w:cs="Arial"/>
                <w:b w:val="0"/>
                <w:bCs/>
                <w:szCs w:val="21"/>
              </w:rPr>
            </w:pPr>
            <w:r>
              <w:rPr>
                <w:rFonts w:hint="eastAsia" w:ascii="宋体" w:hAnsi="宋体" w:cs="Arial"/>
                <w:b w:val="0"/>
                <w:bCs/>
                <w:szCs w:val="21"/>
              </w:rPr>
              <w:t>精心施工   创建品牌</w:t>
            </w:r>
          </w:p>
          <w:p>
            <w:pPr>
              <w:spacing w:line="340" w:lineRule="exact"/>
              <w:jc w:val="center"/>
              <w:rPr>
                <w:rFonts w:hint="eastAsia" w:ascii="宋体" w:hAnsi="宋体" w:cs="Arial"/>
                <w:b w:val="0"/>
                <w:bCs/>
                <w:szCs w:val="21"/>
              </w:rPr>
            </w:pPr>
            <w:r>
              <w:rPr>
                <w:rFonts w:hint="eastAsia" w:ascii="宋体" w:hAnsi="宋体" w:cs="Arial"/>
                <w:b w:val="0"/>
                <w:bCs/>
                <w:szCs w:val="21"/>
              </w:rPr>
              <w:t>减少污染   控制噪声</w:t>
            </w:r>
          </w:p>
          <w:p>
            <w:pPr>
              <w:spacing w:line="340" w:lineRule="exact"/>
              <w:jc w:val="center"/>
              <w:rPr>
                <w:rFonts w:hint="eastAsia" w:ascii="宋体" w:hAnsi="宋体" w:cs="Arial"/>
                <w:b w:val="0"/>
                <w:bCs/>
                <w:szCs w:val="21"/>
              </w:rPr>
            </w:pPr>
            <w:r>
              <w:rPr>
                <w:rFonts w:hint="eastAsia" w:ascii="宋体" w:hAnsi="宋体" w:cs="Arial"/>
                <w:b w:val="0"/>
                <w:bCs/>
                <w:szCs w:val="21"/>
              </w:rPr>
              <w:t>安全第一   以人为本</w:t>
            </w:r>
          </w:p>
          <w:p>
            <w:pPr>
              <w:spacing w:line="340" w:lineRule="exact"/>
              <w:jc w:val="center"/>
              <w:rPr>
                <w:rFonts w:hint="eastAsia" w:ascii="宋体" w:hAnsi="宋体" w:cs="Arial"/>
                <w:b w:val="0"/>
                <w:bCs/>
                <w:szCs w:val="21"/>
              </w:rPr>
            </w:pPr>
            <w:r>
              <w:rPr>
                <w:rFonts w:hint="eastAsia" w:ascii="宋体" w:hAnsi="宋体" w:cs="Arial"/>
                <w:b w:val="0"/>
                <w:bCs/>
                <w:szCs w:val="21"/>
              </w:rPr>
              <w:t>持续改进   创新发展</w:t>
            </w:r>
          </w:p>
          <w:p>
            <w:pPr>
              <w:spacing w:line="340" w:lineRule="exact"/>
              <w:jc w:val="center"/>
              <w:rPr>
                <w:rFonts w:hint="eastAsia" w:ascii="宋体" w:hAnsi="宋体" w:cs="Arial"/>
                <w:b w:val="0"/>
                <w:bCs/>
                <w:szCs w:val="21"/>
              </w:rPr>
            </w:pPr>
            <w:r>
              <w:rPr>
                <w:rFonts w:hint="eastAsia" w:ascii="宋体" w:hAnsi="宋体" w:cs="Arial"/>
                <w:b w:val="0"/>
                <w:bCs/>
                <w:szCs w:val="21"/>
              </w:rPr>
              <w:t>遵纪守法   心系顾客</w:t>
            </w:r>
          </w:p>
          <w:p>
            <w:pPr>
              <w:spacing w:line="340" w:lineRule="exact"/>
              <w:jc w:val="center"/>
              <w:rPr>
                <w:rFonts w:ascii="宋体" w:hAnsi="宋体" w:cs="Arial"/>
                <w:b w:val="0"/>
                <w:bCs/>
                <w:szCs w:val="21"/>
              </w:rPr>
            </w:pPr>
            <w:r>
              <w:rPr>
                <w:rFonts w:hint="eastAsia" w:ascii="宋体" w:hAnsi="宋体" w:cs="Arial"/>
                <w:b w:val="0"/>
                <w:bCs/>
                <w:szCs w:val="21"/>
              </w:rPr>
              <w:t>控制过程   服务业主</w:t>
            </w:r>
          </w:p>
          <w:p>
            <w:pPr>
              <w:spacing w:line="340" w:lineRule="exact"/>
              <w:rPr>
                <w:rFonts w:ascii="宋体" w:hAnsi="宋体" w:cs="Arial"/>
                <w:b/>
                <w:szCs w:val="21"/>
              </w:rPr>
            </w:pPr>
            <w:r>
              <w:rPr>
                <w:rFonts w:hint="eastAsia" w:ascii="宋体" w:hAnsi="宋体" w:cs="Arial"/>
                <w:b w:val="0"/>
                <w:bCs/>
                <w:szCs w:val="21"/>
              </w:rPr>
              <w:t>公司质量、环境和职业健康安全目标：</w:t>
            </w:r>
          </w:p>
          <w:p>
            <w:pPr>
              <w:spacing w:line="360" w:lineRule="auto"/>
              <w:rPr>
                <w:rFonts w:hint="eastAsia"/>
              </w:rPr>
            </w:pPr>
          </w:p>
          <w:tbl>
            <w:tblPr>
              <w:tblStyle w:val="7"/>
              <w:tblW w:w="8734" w:type="dxa"/>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660"/>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pPr>
                    <w:tabs>
                      <w:tab w:val="left" w:pos="1815"/>
                      <w:tab w:val="left" w:pos="2820"/>
                    </w:tabs>
                    <w:spacing w:line="360" w:lineRule="auto"/>
                    <w:rPr>
                      <w:color w:val="000000"/>
                      <w:szCs w:val="21"/>
                    </w:rPr>
                  </w:pPr>
                </w:p>
              </w:tc>
              <w:tc>
                <w:tcPr>
                  <w:tcW w:w="3660" w:type="dxa"/>
                  <w:vAlign w:val="center"/>
                </w:tcPr>
                <w:p>
                  <w:pPr>
                    <w:tabs>
                      <w:tab w:val="left" w:pos="1815"/>
                      <w:tab w:val="left" w:pos="2820"/>
                    </w:tabs>
                    <w:spacing w:line="360" w:lineRule="auto"/>
                    <w:jc w:val="center"/>
                    <w:rPr>
                      <w:color w:val="000000"/>
                      <w:szCs w:val="21"/>
                    </w:rPr>
                  </w:pPr>
                  <w:r>
                    <w:rPr>
                      <w:rFonts w:hint="eastAsia"/>
                      <w:color w:val="000000"/>
                      <w:szCs w:val="21"/>
                    </w:rPr>
                    <w:t>目标</w:t>
                  </w:r>
                </w:p>
              </w:tc>
              <w:tc>
                <w:tcPr>
                  <w:tcW w:w="4214" w:type="dxa"/>
                  <w:vAlign w:val="center"/>
                </w:tcPr>
                <w:p>
                  <w:pPr>
                    <w:tabs>
                      <w:tab w:val="left" w:pos="1815"/>
                      <w:tab w:val="left" w:pos="2820"/>
                    </w:tabs>
                    <w:spacing w:line="360" w:lineRule="auto"/>
                    <w:jc w:val="center"/>
                    <w:rPr>
                      <w:color w:val="000000"/>
                      <w:szCs w:val="21"/>
                    </w:rPr>
                  </w:pPr>
                  <w:r>
                    <w:rPr>
                      <w:rFonts w:hint="eastAsia"/>
                      <w:color w:val="000000"/>
                      <w:szCs w:val="21"/>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vMerge w:val="restart"/>
                  <w:vAlign w:val="center"/>
                </w:tcPr>
                <w:p>
                  <w:pPr>
                    <w:tabs>
                      <w:tab w:val="left" w:pos="1815"/>
                      <w:tab w:val="left" w:pos="2820"/>
                    </w:tabs>
                    <w:spacing w:line="360" w:lineRule="auto"/>
                    <w:jc w:val="center"/>
                    <w:rPr>
                      <w:color w:val="000000"/>
                      <w:szCs w:val="21"/>
                    </w:rPr>
                  </w:pPr>
                  <w:r>
                    <w:rPr>
                      <w:rFonts w:hint="eastAsia"/>
                      <w:color w:val="000000"/>
                      <w:szCs w:val="21"/>
                    </w:rPr>
                    <w:t>质量</w:t>
                  </w:r>
                </w:p>
              </w:tc>
              <w:tc>
                <w:tcPr>
                  <w:tcW w:w="3660" w:type="dxa"/>
                  <w:vAlign w:val="center"/>
                </w:tcPr>
                <w:p>
                  <w:pPr>
                    <w:tabs>
                      <w:tab w:val="left" w:pos="1815"/>
                      <w:tab w:val="left" w:pos="2820"/>
                    </w:tabs>
                    <w:spacing w:line="360" w:lineRule="auto"/>
                    <w:jc w:val="left"/>
                    <w:rPr>
                      <w:color w:val="000000"/>
                      <w:szCs w:val="21"/>
                    </w:rPr>
                  </w:pPr>
                  <w:r>
                    <w:rPr>
                      <w:rFonts w:hint="eastAsia"/>
                      <w:color w:val="000000"/>
                      <w:szCs w:val="21"/>
                    </w:rPr>
                    <w:t>工程一次交验合格率100%</w:t>
                  </w:r>
                </w:p>
              </w:tc>
              <w:tc>
                <w:tcPr>
                  <w:tcW w:w="4214" w:type="dxa"/>
                </w:tcPr>
                <w:p>
                  <w:pPr>
                    <w:tabs>
                      <w:tab w:val="left" w:pos="1815"/>
                      <w:tab w:val="left" w:pos="2820"/>
                    </w:tabs>
                    <w:spacing w:line="360" w:lineRule="auto"/>
                    <w:rPr>
                      <w:color w:val="000000"/>
                      <w:szCs w:val="21"/>
                    </w:rPr>
                  </w:pPr>
                  <w:r>
                    <w:rPr>
                      <w:rFonts w:hint="eastAsia"/>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vMerge w:val="continue"/>
                </w:tcPr>
                <w:p>
                  <w:pPr>
                    <w:tabs>
                      <w:tab w:val="left" w:pos="1815"/>
                      <w:tab w:val="left" w:pos="2820"/>
                    </w:tabs>
                    <w:spacing w:line="360" w:lineRule="auto"/>
                    <w:rPr>
                      <w:color w:val="000000"/>
                      <w:szCs w:val="21"/>
                    </w:rPr>
                  </w:pPr>
                </w:p>
              </w:tc>
              <w:tc>
                <w:tcPr>
                  <w:tcW w:w="3660" w:type="dxa"/>
                  <w:vAlign w:val="center"/>
                </w:tcPr>
                <w:p>
                  <w:pPr>
                    <w:tabs>
                      <w:tab w:val="left" w:pos="1815"/>
                      <w:tab w:val="left" w:pos="2820"/>
                    </w:tabs>
                    <w:spacing w:line="360" w:lineRule="auto"/>
                    <w:jc w:val="left"/>
                    <w:rPr>
                      <w:color w:val="000000"/>
                      <w:szCs w:val="21"/>
                    </w:rPr>
                  </w:pPr>
                  <w:r>
                    <w:rPr>
                      <w:rFonts w:hint="eastAsia"/>
                      <w:color w:val="000000"/>
                      <w:szCs w:val="21"/>
                    </w:rPr>
                    <w:t>顾客满意率</w:t>
                  </w:r>
                  <w:r>
                    <w:rPr>
                      <w:rFonts w:hint="eastAsia" w:ascii="仿宋_GB2312" w:hAnsi="宋体"/>
                      <w:sz w:val="24"/>
                    </w:rPr>
                    <w:t>≥95%</w:t>
                  </w:r>
                </w:p>
              </w:tc>
              <w:tc>
                <w:tcPr>
                  <w:tcW w:w="4214" w:type="dxa"/>
                </w:tcPr>
                <w:p>
                  <w:pPr>
                    <w:tabs>
                      <w:tab w:val="left" w:pos="1815"/>
                      <w:tab w:val="left" w:pos="2820"/>
                    </w:tabs>
                    <w:spacing w:line="360" w:lineRule="auto"/>
                    <w:rPr>
                      <w:color w:val="000000"/>
                      <w:szCs w:val="21"/>
                    </w:rPr>
                  </w:pPr>
                  <w:r>
                    <w:rPr>
                      <w:rFonts w:hint="eastAsia" w:ascii="仿宋_GB2312" w:hAnsi="宋体"/>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vMerge w:val="restart"/>
                  <w:vAlign w:val="center"/>
                </w:tcPr>
                <w:p>
                  <w:pPr>
                    <w:tabs>
                      <w:tab w:val="left" w:pos="1815"/>
                      <w:tab w:val="left" w:pos="2820"/>
                    </w:tabs>
                    <w:spacing w:line="360" w:lineRule="auto"/>
                    <w:jc w:val="center"/>
                    <w:rPr>
                      <w:color w:val="000000"/>
                      <w:szCs w:val="21"/>
                    </w:rPr>
                  </w:pPr>
                  <w:r>
                    <w:rPr>
                      <w:rFonts w:hint="eastAsia"/>
                      <w:color w:val="000000"/>
                      <w:szCs w:val="21"/>
                    </w:rPr>
                    <w:t>环境</w:t>
                  </w:r>
                </w:p>
              </w:tc>
              <w:tc>
                <w:tcPr>
                  <w:tcW w:w="3660" w:type="dxa"/>
                  <w:vAlign w:val="center"/>
                </w:tcPr>
                <w:p>
                  <w:pPr>
                    <w:tabs>
                      <w:tab w:val="left" w:pos="1815"/>
                      <w:tab w:val="left" w:pos="2820"/>
                    </w:tabs>
                    <w:spacing w:line="360" w:lineRule="auto"/>
                    <w:jc w:val="left"/>
                    <w:rPr>
                      <w:color w:val="000000"/>
                      <w:szCs w:val="21"/>
                    </w:rPr>
                  </w:pPr>
                  <w:r>
                    <w:rPr>
                      <w:rFonts w:hint="eastAsia"/>
                      <w:color w:val="000000"/>
                      <w:szCs w:val="21"/>
                    </w:rPr>
                    <w:t>施工噪声:投诉率为0</w:t>
                  </w:r>
                </w:p>
              </w:tc>
              <w:tc>
                <w:tcPr>
                  <w:tcW w:w="4214" w:type="dxa"/>
                </w:tcPr>
                <w:p>
                  <w:pPr>
                    <w:tabs>
                      <w:tab w:val="left" w:pos="1815"/>
                      <w:tab w:val="left" w:pos="2820"/>
                    </w:tabs>
                    <w:spacing w:line="360" w:lineRule="auto"/>
                    <w:rPr>
                      <w:color w:val="000000"/>
                      <w:szCs w:val="21"/>
                    </w:rPr>
                  </w:pPr>
                  <w:r>
                    <w:rPr>
                      <w:rFonts w:hint="eastAsia"/>
                      <w:color w:val="000000"/>
                      <w:szCs w:val="21"/>
                    </w:rPr>
                    <w:t>实现全年无投诉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860" w:type="dxa"/>
                  <w:vMerge w:val="continue"/>
                </w:tcPr>
                <w:p>
                  <w:pPr>
                    <w:tabs>
                      <w:tab w:val="left" w:pos="1815"/>
                      <w:tab w:val="left" w:pos="2820"/>
                    </w:tabs>
                    <w:spacing w:line="360" w:lineRule="auto"/>
                    <w:rPr>
                      <w:color w:val="000000"/>
                      <w:szCs w:val="21"/>
                    </w:rPr>
                  </w:pPr>
                </w:p>
              </w:tc>
              <w:tc>
                <w:tcPr>
                  <w:tcW w:w="3660" w:type="dxa"/>
                  <w:vAlign w:val="center"/>
                </w:tcPr>
                <w:p>
                  <w:pPr>
                    <w:tabs>
                      <w:tab w:val="left" w:pos="1815"/>
                      <w:tab w:val="left" w:pos="2820"/>
                    </w:tabs>
                    <w:spacing w:line="360" w:lineRule="auto"/>
                    <w:jc w:val="left"/>
                    <w:rPr>
                      <w:color w:val="000000"/>
                      <w:szCs w:val="21"/>
                    </w:rPr>
                  </w:pPr>
                  <w:r>
                    <w:rPr>
                      <w:rFonts w:hint="eastAsia"/>
                      <w:szCs w:val="21"/>
                    </w:rPr>
                    <w:t>固体废弃物分类处置率100%</w:t>
                  </w:r>
                </w:p>
              </w:tc>
              <w:tc>
                <w:tcPr>
                  <w:tcW w:w="4214" w:type="dxa"/>
                </w:tcPr>
                <w:p>
                  <w:pPr>
                    <w:tabs>
                      <w:tab w:val="left" w:pos="1815"/>
                      <w:tab w:val="left" w:pos="2820"/>
                    </w:tabs>
                    <w:spacing w:line="360" w:lineRule="auto"/>
                    <w:rPr>
                      <w:color w:val="000000"/>
                      <w:szCs w:val="21"/>
                    </w:rPr>
                  </w:pPr>
                  <w:r>
                    <w:rPr>
                      <w:rFonts w:hint="eastAsia"/>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vMerge w:val="restart"/>
                  <w:textDirection w:val="tbRlV"/>
                  <w:vAlign w:val="center"/>
                </w:tcPr>
                <w:p>
                  <w:pPr>
                    <w:tabs>
                      <w:tab w:val="left" w:pos="1815"/>
                      <w:tab w:val="left" w:pos="2820"/>
                    </w:tabs>
                    <w:spacing w:line="360" w:lineRule="auto"/>
                    <w:ind w:left="113" w:right="113"/>
                    <w:jc w:val="center"/>
                    <w:rPr>
                      <w:color w:val="000000"/>
                      <w:szCs w:val="21"/>
                    </w:rPr>
                  </w:pPr>
                  <w:r>
                    <w:rPr>
                      <w:rFonts w:hint="eastAsia"/>
                      <w:color w:val="000000"/>
                      <w:szCs w:val="21"/>
                    </w:rPr>
                    <w:t>职业健康安全</w:t>
                  </w:r>
                </w:p>
              </w:tc>
              <w:tc>
                <w:tcPr>
                  <w:tcW w:w="3660" w:type="dxa"/>
                  <w:vAlign w:val="center"/>
                </w:tcPr>
                <w:p>
                  <w:pPr>
                    <w:tabs>
                      <w:tab w:val="left" w:pos="1815"/>
                      <w:tab w:val="left" w:pos="2820"/>
                    </w:tabs>
                    <w:spacing w:line="360" w:lineRule="auto"/>
                    <w:jc w:val="left"/>
                    <w:rPr>
                      <w:color w:val="000000"/>
                      <w:szCs w:val="21"/>
                    </w:rPr>
                  </w:pPr>
                  <w:r>
                    <w:rPr>
                      <w:rFonts w:hint="eastAsia"/>
                      <w:color w:val="000000"/>
                      <w:szCs w:val="21"/>
                    </w:rPr>
                    <w:t>火灾、触电事故为零</w:t>
                  </w:r>
                </w:p>
              </w:tc>
              <w:tc>
                <w:tcPr>
                  <w:tcW w:w="4214" w:type="dxa"/>
                </w:tcPr>
                <w:p>
                  <w:pPr>
                    <w:tabs>
                      <w:tab w:val="left" w:pos="1815"/>
                      <w:tab w:val="left" w:pos="2820"/>
                    </w:tabs>
                    <w:spacing w:line="360" w:lineRule="auto"/>
                    <w:rPr>
                      <w:color w:val="000000"/>
                      <w:szCs w:val="21"/>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0" w:type="dxa"/>
                  <w:vMerge w:val="continue"/>
                </w:tcPr>
                <w:p>
                  <w:pPr>
                    <w:tabs>
                      <w:tab w:val="left" w:pos="1815"/>
                      <w:tab w:val="left" w:pos="2820"/>
                    </w:tabs>
                    <w:spacing w:line="360" w:lineRule="auto"/>
                    <w:rPr>
                      <w:color w:val="000000"/>
                      <w:szCs w:val="21"/>
                    </w:rPr>
                  </w:pPr>
                </w:p>
              </w:tc>
              <w:tc>
                <w:tcPr>
                  <w:tcW w:w="3660" w:type="dxa"/>
                  <w:vAlign w:val="center"/>
                </w:tcPr>
                <w:p>
                  <w:pPr>
                    <w:tabs>
                      <w:tab w:val="left" w:pos="1815"/>
                      <w:tab w:val="left" w:pos="2820"/>
                    </w:tabs>
                    <w:spacing w:line="360" w:lineRule="auto"/>
                    <w:jc w:val="left"/>
                    <w:rPr>
                      <w:color w:val="000000"/>
                      <w:szCs w:val="21"/>
                    </w:rPr>
                  </w:pPr>
                  <w:r>
                    <w:rPr>
                      <w:rFonts w:hint="eastAsia"/>
                      <w:color w:val="000000"/>
                      <w:szCs w:val="21"/>
                    </w:rPr>
                    <w:t>重伤率不超过0.6‰，轻伤人数单位工程控制在2‰以内</w:t>
                  </w:r>
                </w:p>
              </w:tc>
              <w:tc>
                <w:tcPr>
                  <w:tcW w:w="4214" w:type="dxa"/>
                </w:tcPr>
                <w:p>
                  <w:pPr>
                    <w:tabs>
                      <w:tab w:val="left" w:pos="1815"/>
                      <w:tab w:val="left" w:pos="2820"/>
                    </w:tabs>
                    <w:spacing w:line="360" w:lineRule="auto"/>
                    <w:rPr>
                      <w:color w:val="000000"/>
                      <w:szCs w:val="21"/>
                    </w:rPr>
                  </w:pPr>
                  <w:r>
                    <w:rPr>
                      <w:rFonts w:hint="eastAsia"/>
                      <w:color w:val="000000"/>
                      <w:szCs w:val="21"/>
                    </w:rPr>
                    <w:t>0</w:t>
                  </w:r>
                </w:p>
              </w:tc>
            </w:tr>
          </w:tbl>
          <w:p>
            <w:pPr>
              <w:pStyle w:val="6"/>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rPr>
              <w:t>查《目标考核表》20</w:t>
            </w:r>
            <w:r>
              <w:rPr>
                <w:rFonts w:hint="eastAsia" w:asciiTheme="minorEastAsia" w:hAnsiTheme="minorEastAsia" w:eastAsiaTheme="minorEastAsia" w:cstheme="minorEastAsia"/>
                <w:color w:val="auto"/>
                <w:kern w:val="2"/>
                <w:sz w:val="21"/>
                <w:szCs w:val="21"/>
                <w:lang w:val="en-US" w:eastAsia="zh-CN"/>
              </w:rPr>
              <w:t>20</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lang w:val="en-US" w:eastAsia="zh-CN"/>
              </w:rPr>
              <w:t>10</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lang w:val="en-US" w:eastAsia="zh-CN"/>
              </w:rPr>
              <w:t>10日</w:t>
            </w:r>
            <w:r>
              <w:rPr>
                <w:rFonts w:hint="eastAsia" w:asciiTheme="minorEastAsia" w:hAnsiTheme="minorEastAsia" w:eastAsiaTheme="minorEastAsia" w:cstheme="minorEastAsia"/>
                <w:color w:val="auto"/>
                <w:kern w:val="2"/>
                <w:sz w:val="21"/>
                <w:szCs w:val="21"/>
              </w:rPr>
              <w:t>，对目标进行考核，</w:t>
            </w:r>
            <w:r>
              <w:rPr>
                <w:rFonts w:hint="eastAsia" w:asciiTheme="minorEastAsia" w:hAnsiTheme="minorEastAsia" w:eastAsiaTheme="minorEastAsia" w:cstheme="minorEastAsia"/>
                <w:color w:val="auto"/>
                <w:sz w:val="21"/>
                <w:szCs w:val="21"/>
              </w:rPr>
              <w:t>均达到目标，</w:t>
            </w:r>
          </w:p>
          <w:p>
            <w:pPr>
              <w:pStyle w:val="2"/>
              <w:spacing w:line="360" w:lineRule="auto"/>
              <w:rPr>
                <w:rFonts w:hint="eastAsia"/>
              </w:rPr>
            </w:pPr>
            <w:r>
              <w:rPr>
                <w:rFonts w:hint="eastAsia" w:cs="宋体" w:asciiTheme="minorEastAsia" w:hAnsiTheme="minorEastAsia" w:eastAsiaTheme="minorEastAsia"/>
                <w:sz w:val="21"/>
                <w:szCs w:val="21"/>
                <w:lang w:val="en-US" w:eastAsia="zh-CN"/>
              </w:rPr>
              <w:t>《环境目标、指标、管理方案》和《安全目标、指标、管理方案》，</w:t>
            </w:r>
            <w:r>
              <w:rPr>
                <w:rFonts w:hint="eastAsia" w:cs="宋体" w:asciiTheme="minorEastAsia" w:hAnsiTheme="minorEastAsia" w:eastAsiaTheme="minorEastAsia"/>
                <w:szCs w:val="21"/>
                <w:lang w:val="en-US" w:eastAsia="zh-CN"/>
              </w:rPr>
              <w:t>环境、安全运行检查，具体详见二阶段。</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color w:val="auto"/>
                <w:szCs w:val="21"/>
              </w:rPr>
            </w:pPr>
            <w:r>
              <w:rPr>
                <w:rFonts w:hint="eastAsia"/>
                <w:color w:val="auto"/>
                <w:szCs w:val="21"/>
              </w:rPr>
              <w:t>重要环境因素、</w:t>
            </w:r>
          </w:p>
          <w:p>
            <w:pPr>
              <w:rPr>
                <w:color w:val="auto"/>
                <w:szCs w:val="21"/>
              </w:rPr>
            </w:pPr>
            <w:r>
              <w:rPr>
                <w:rFonts w:hint="eastAsia"/>
                <w:color w:val="auto"/>
                <w:szCs w:val="21"/>
              </w:rPr>
              <w:t>不可接受危险源</w:t>
            </w:r>
          </w:p>
          <w:p>
            <w:pPr>
              <w:rPr>
                <w:color w:val="auto"/>
                <w:szCs w:val="21"/>
              </w:rPr>
            </w:pPr>
          </w:p>
        </w:tc>
        <w:tc>
          <w:tcPr>
            <w:tcW w:w="960" w:type="dxa"/>
          </w:tcPr>
          <w:p>
            <w:pPr>
              <w:rPr>
                <w:color w:val="auto"/>
                <w:szCs w:val="21"/>
              </w:rPr>
            </w:pPr>
          </w:p>
        </w:tc>
        <w:tc>
          <w:tcPr>
            <w:tcW w:w="10880" w:type="dxa"/>
          </w:tcPr>
          <w:p>
            <w:pPr>
              <w:spacing w:line="360" w:lineRule="auto"/>
              <w:rPr>
                <w:rFonts w:hint="eastAsia" w:ascii="Times New Roman" w:hAnsi="Times New Roman" w:cs="Times New Roman"/>
                <w:color w:val="auto"/>
                <w:szCs w:val="21"/>
              </w:rPr>
            </w:pPr>
            <w:r>
              <w:rPr>
                <w:rFonts w:hint="eastAsia"/>
                <w:color w:val="auto"/>
                <w:szCs w:val="21"/>
              </w:rPr>
              <w:t>编制了《环境因素的识别与评价控制程序》《危险源辩识、风险评价和风险控制策划程序》符合标准要求</w:t>
            </w:r>
            <w:r>
              <w:rPr>
                <w:color w:val="auto"/>
                <w:szCs w:val="21"/>
              </w:rPr>
              <w:t>.</w:t>
            </w:r>
            <w:r>
              <w:rPr>
                <w:rFonts w:hint="eastAsia"/>
                <w:color w:val="auto"/>
                <w:szCs w:val="21"/>
              </w:rPr>
              <w:t>提供的“环境因素识别评价表”“重要环境因素清单”，</w:t>
            </w:r>
            <w:r>
              <w:rPr>
                <w:color w:val="auto"/>
                <w:szCs w:val="21"/>
              </w:rPr>
              <w:t xml:space="preserve"> </w:t>
            </w:r>
            <w:r>
              <w:rPr>
                <w:rFonts w:hint="eastAsia"/>
                <w:color w:val="auto"/>
                <w:szCs w:val="21"/>
              </w:rPr>
              <w:t>评价考虑了三种时态现在、过去、将来、三种状态、异常、正常、紧急考虑了</w:t>
            </w:r>
            <w:r>
              <w:rPr>
                <w:rFonts w:hint="eastAsia" w:ascii="Times New Roman" w:hAnsi="Times New Roman" w:cs="Times New Roman"/>
                <w:color w:val="auto"/>
                <w:szCs w:val="21"/>
              </w:rPr>
              <w:t>法律法规，并进行了评价。对重要环境因素的控制措施包括制定管理制度、监督检查、应急预案、培训等。</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查见《重要环境因素清单》，已将施工过程火灾、</w:t>
            </w:r>
            <w:r>
              <w:rPr>
                <w:rFonts w:hint="eastAsia" w:asciiTheme="minorEastAsia" w:hAnsiTheme="minorEastAsia" w:eastAsiaTheme="minorEastAsia" w:cstheme="minorEastAsia"/>
                <w:color w:val="auto"/>
                <w:sz w:val="21"/>
                <w:szCs w:val="21"/>
                <w:lang w:val="en-US" w:eastAsia="zh-CN"/>
              </w:rPr>
              <w:t>能源消耗、固废的排放</w:t>
            </w:r>
            <w:r>
              <w:rPr>
                <w:rFonts w:hint="eastAsia" w:asciiTheme="minorEastAsia" w:hAnsiTheme="minorEastAsia" w:eastAsiaTheme="minorEastAsia" w:cstheme="minorEastAsia"/>
                <w:color w:val="auto"/>
                <w:sz w:val="21"/>
                <w:szCs w:val="21"/>
              </w:rPr>
              <w:t>”等内容列入重要环境因素</w:t>
            </w:r>
          </w:p>
          <w:p>
            <w:pPr>
              <w:spacing w:line="360" w:lineRule="auto"/>
              <w:rPr>
                <w:rFonts w:hint="eastAsia"/>
                <w:color w:val="auto"/>
                <w:szCs w:val="21"/>
              </w:rPr>
            </w:pPr>
            <w:r>
              <w:rPr>
                <w:rFonts w:hint="eastAsia" w:asciiTheme="minorEastAsia" w:hAnsiTheme="minorEastAsia" w:eastAsiaTheme="minorEastAsia" w:cstheme="minorEastAsia"/>
                <w:color w:val="auto"/>
                <w:sz w:val="21"/>
                <w:szCs w:val="21"/>
              </w:rPr>
              <w:t>不可接受风险有：</w:t>
            </w:r>
            <w:r>
              <w:rPr>
                <w:rFonts w:hint="eastAsia" w:asciiTheme="minorEastAsia" w:hAnsiTheme="minorEastAsia" w:eastAsiaTheme="minorEastAsia" w:cstheme="minorEastAsia"/>
                <w:color w:val="auto"/>
                <w:sz w:val="21"/>
                <w:szCs w:val="21"/>
                <w:lang w:val="en-US" w:eastAsia="zh-CN"/>
              </w:rPr>
              <w:t>机械伤害</w:t>
            </w:r>
            <w:r>
              <w:rPr>
                <w:rFonts w:hint="eastAsia" w:asciiTheme="minorEastAsia" w:hAnsiTheme="minorEastAsia" w:eastAsiaTheme="minorEastAsia" w:cstheme="minorEastAsia"/>
                <w:color w:val="auto"/>
                <w:sz w:val="21"/>
                <w:szCs w:val="21"/>
              </w:rPr>
              <w:t>、触电，</w:t>
            </w:r>
            <w:r>
              <w:rPr>
                <w:rFonts w:hint="eastAsia" w:asciiTheme="minorEastAsia" w:hAnsiTheme="minorEastAsia" w:eastAsiaTheme="minorEastAsia" w:cstheme="minorEastAsia"/>
                <w:color w:val="auto"/>
                <w:sz w:val="21"/>
                <w:szCs w:val="21"/>
                <w:lang w:val="en-US" w:eastAsia="zh-CN"/>
              </w:rPr>
              <w:t>火灾</w:t>
            </w:r>
            <w:r>
              <w:rPr>
                <w:rFonts w:hint="eastAsia" w:asciiTheme="minorEastAsia" w:hAnsiTheme="minorEastAsia" w:eastAsiaTheme="minorEastAsia" w:cstheme="minorEastAsia"/>
                <w:color w:val="auto"/>
                <w:sz w:val="21"/>
                <w:szCs w:val="21"/>
              </w:rPr>
              <w:t>等项。</w:t>
            </w:r>
            <w:r>
              <w:rPr>
                <w:rFonts w:hint="eastAsia" w:ascii="Times New Roman" w:hAnsi="Times New Roman" w:cs="Times New Roman"/>
                <w:color w:val="auto"/>
                <w:szCs w:val="21"/>
              </w:rPr>
              <w:t>二阶段进行进一步关注</w:t>
            </w:r>
          </w:p>
        </w:tc>
        <w:tc>
          <w:tcPr>
            <w:tcW w:w="709" w:type="dxa"/>
          </w:tcPr>
          <w:p>
            <w:pPr>
              <w:pStyle w:val="2"/>
              <w:rPr>
                <w:color w:val="auto"/>
                <w:szCs w:val="21"/>
              </w:rPr>
            </w:pPr>
            <w:r>
              <w:rPr>
                <w:rFonts w:hint="eastAsia"/>
                <w:color w:val="auto"/>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160" w:type="dxa"/>
          </w:tcPr>
          <w:p>
            <w:pPr>
              <w:spacing w:line="360" w:lineRule="auto"/>
              <w:rPr>
                <w:color w:val="auto"/>
                <w:szCs w:val="21"/>
              </w:rPr>
            </w:pPr>
            <w:r>
              <w:rPr>
                <w:rFonts w:hint="eastAsia"/>
                <w:color w:val="auto"/>
                <w:szCs w:val="21"/>
              </w:rPr>
              <w:t>内审情况</w:t>
            </w:r>
          </w:p>
          <w:p>
            <w:pPr>
              <w:spacing w:line="360" w:lineRule="auto"/>
              <w:rPr>
                <w:color w:val="auto"/>
                <w:szCs w:val="21"/>
              </w:rPr>
            </w:pPr>
            <w:r>
              <w:rPr>
                <w:rFonts w:hint="eastAsia"/>
                <w:color w:val="auto"/>
                <w:szCs w:val="21"/>
              </w:rPr>
              <w:t>管理评审</w:t>
            </w:r>
          </w:p>
        </w:tc>
        <w:tc>
          <w:tcPr>
            <w:tcW w:w="960" w:type="dxa"/>
          </w:tcPr>
          <w:p>
            <w:pPr>
              <w:spacing w:line="360" w:lineRule="auto"/>
              <w:rPr>
                <w:color w:val="auto"/>
                <w:szCs w:val="21"/>
              </w:rPr>
            </w:pPr>
          </w:p>
        </w:tc>
        <w:tc>
          <w:tcPr>
            <w:tcW w:w="10880" w:type="dxa"/>
          </w:tcPr>
          <w:p>
            <w:pPr>
              <w:spacing w:line="360" w:lineRule="auto"/>
              <w:rPr>
                <w:rFonts w:hint="eastAsia" w:ascii="Times New Roman" w:hAnsi="Times New Roman" w:cs="Times New Roman"/>
                <w:color w:val="auto"/>
                <w:szCs w:val="21"/>
              </w:rPr>
            </w:pPr>
            <w:r>
              <w:rPr>
                <w:rFonts w:hint="eastAsia"/>
                <w:color w:val="auto"/>
                <w:szCs w:val="21"/>
              </w:rPr>
              <w:t>公司于</w:t>
            </w:r>
            <w:r>
              <w:rPr>
                <w:rFonts w:hint="eastAsia" w:ascii="Times New Roman" w:hAnsi="Times New Roman" w:cs="Times New Roman"/>
                <w:color w:val="auto"/>
                <w:szCs w:val="21"/>
                <w:lang w:val="en-US" w:eastAsia="zh-CN"/>
              </w:rPr>
              <w:t>2020年</w:t>
            </w:r>
            <w:r>
              <w:rPr>
                <w:rFonts w:hint="eastAsia" w:cs="Times New Roman"/>
                <w:color w:val="auto"/>
                <w:szCs w:val="21"/>
                <w:lang w:val="en-US" w:eastAsia="zh-CN"/>
              </w:rPr>
              <w:t>9</w:t>
            </w:r>
            <w:r>
              <w:rPr>
                <w:rFonts w:hint="eastAsia" w:ascii="Times New Roman" w:hAnsi="Times New Roman" w:cs="Times New Roman"/>
                <w:color w:val="auto"/>
                <w:szCs w:val="21"/>
                <w:lang w:val="en-US" w:eastAsia="zh-CN"/>
              </w:rPr>
              <w:t>月1</w:t>
            </w:r>
            <w:r>
              <w:rPr>
                <w:rFonts w:hint="eastAsia" w:cs="Times New Roman"/>
                <w:color w:val="auto"/>
                <w:szCs w:val="21"/>
                <w:lang w:val="en-US" w:eastAsia="zh-CN"/>
              </w:rPr>
              <w:t>1</w:t>
            </w:r>
            <w:r>
              <w:rPr>
                <w:rFonts w:hint="eastAsia" w:ascii="Times New Roman" w:hAnsi="Times New Roman" w:cs="Times New Roman"/>
                <w:color w:val="auto"/>
                <w:szCs w:val="21"/>
                <w:lang w:val="en-US" w:eastAsia="zh-CN"/>
              </w:rPr>
              <w:t>-1</w:t>
            </w:r>
            <w:r>
              <w:rPr>
                <w:rFonts w:hint="eastAsia" w:cs="Times New Roman"/>
                <w:color w:val="auto"/>
                <w:szCs w:val="21"/>
                <w:lang w:val="en-US" w:eastAsia="zh-CN"/>
              </w:rPr>
              <w:t>2</w:t>
            </w:r>
            <w:r>
              <w:rPr>
                <w:rFonts w:hint="eastAsia" w:ascii="Times New Roman" w:hAnsi="Times New Roman" w:cs="Times New Roman"/>
                <w:color w:val="auto"/>
                <w:szCs w:val="21"/>
                <w:lang w:val="en-US" w:eastAsia="zh-CN"/>
              </w:rPr>
              <w:t>日</w:t>
            </w:r>
            <w:r>
              <w:rPr>
                <w:rFonts w:hint="eastAsia" w:ascii="Times New Roman" w:hAnsi="Times New Roman" w:cs="Times New Roman"/>
                <w:color w:val="auto"/>
                <w:szCs w:val="21"/>
              </w:rPr>
              <w:t>开展内部审核进行一次内审，提供了</w:t>
            </w:r>
            <w:r>
              <w:rPr>
                <w:rFonts w:hint="eastAsia" w:asciiTheme="minorEastAsia" w:hAnsiTheme="minorEastAsia" w:eastAsiaTheme="minorEastAsia" w:cstheme="minorEastAsia"/>
                <w:color w:val="auto"/>
                <w:sz w:val="21"/>
                <w:szCs w:val="21"/>
                <w:lang w:val="en-US" w:eastAsia="zh-CN"/>
              </w:rPr>
              <w:t>内审计划、内审记录、不符合报告、内审报告等，</w:t>
            </w:r>
          </w:p>
          <w:p>
            <w:pPr>
              <w:spacing w:line="360" w:lineRule="auto"/>
              <w:rPr>
                <w:rFonts w:hint="eastAsia"/>
                <w:color w:val="auto"/>
                <w:szCs w:val="21"/>
              </w:rPr>
            </w:pPr>
            <w:r>
              <w:rPr>
                <w:rFonts w:hint="eastAsia" w:ascii="Times New Roman" w:hAnsi="Times New Roman" w:cs="Times New Roman"/>
                <w:color w:val="auto"/>
                <w:szCs w:val="21"/>
              </w:rPr>
              <w:t>20</w:t>
            </w:r>
            <w:r>
              <w:rPr>
                <w:rFonts w:hint="eastAsia" w:ascii="Times New Roman" w:hAnsi="Times New Roman" w:cs="Times New Roman"/>
                <w:color w:val="auto"/>
                <w:szCs w:val="21"/>
                <w:lang w:val="en-US" w:eastAsia="zh-CN"/>
              </w:rPr>
              <w:t>20</w:t>
            </w:r>
            <w:r>
              <w:rPr>
                <w:rFonts w:hint="eastAsia" w:ascii="Times New Roman" w:hAnsi="Times New Roman" w:cs="Times New Roman"/>
                <w:color w:val="auto"/>
                <w:szCs w:val="21"/>
              </w:rPr>
              <w:t>年</w:t>
            </w:r>
            <w:r>
              <w:rPr>
                <w:rFonts w:hint="eastAsia" w:cs="Times New Roman"/>
                <w:color w:val="auto"/>
                <w:szCs w:val="21"/>
                <w:lang w:val="en-US" w:eastAsia="zh-CN"/>
              </w:rPr>
              <w:t>9</w:t>
            </w:r>
            <w:r>
              <w:rPr>
                <w:rFonts w:hint="eastAsia" w:ascii="Times New Roman" w:hAnsi="Times New Roman" w:cs="Times New Roman"/>
                <w:color w:val="auto"/>
                <w:szCs w:val="21"/>
              </w:rPr>
              <w:t>月</w:t>
            </w:r>
            <w:r>
              <w:rPr>
                <w:rFonts w:hint="eastAsia" w:cs="Times New Roman"/>
                <w:color w:val="auto"/>
                <w:szCs w:val="21"/>
                <w:lang w:val="en-US" w:eastAsia="zh-CN"/>
              </w:rPr>
              <w:t>22</w:t>
            </w:r>
            <w:r>
              <w:rPr>
                <w:rFonts w:hint="eastAsia" w:ascii="Times New Roman" w:hAnsi="Times New Roman" w:cs="Times New Roman"/>
                <w:color w:val="auto"/>
                <w:szCs w:val="21"/>
              </w:rPr>
              <w:t>日召开了管理评审会议，由</w:t>
            </w:r>
            <w:r>
              <w:rPr>
                <w:rFonts w:hint="eastAsia"/>
                <w:color w:val="auto"/>
                <w:szCs w:val="21"/>
              </w:rPr>
              <w:t>总经理主持。提供管理评审报告，具体内容，二阶段进一步审核。</w:t>
            </w:r>
          </w:p>
        </w:tc>
        <w:tc>
          <w:tcPr>
            <w:tcW w:w="709" w:type="dxa"/>
          </w:tcPr>
          <w:p>
            <w:pPr>
              <w:pStyle w:val="2"/>
              <w:rPr>
                <w:color w:val="auto"/>
                <w:szCs w:val="21"/>
              </w:rPr>
            </w:pPr>
            <w:r>
              <w:rPr>
                <w:rFonts w:hint="eastAsia"/>
                <w:color w:val="auto"/>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160" w:type="dxa"/>
          </w:tcPr>
          <w:p>
            <w:pPr>
              <w:rPr>
                <w:color w:val="auto"/>
                <w:szCs w:val="21"/>
              </w:rPr>
            </w:pPr>
          </w:p>
          <w:p>
            <w:pPr>
              <w:rPr>
                <w:color w:val="auto"/>
                <w:szCs w:val="21"/>
              </w:rPr>
            </w:pPr>
          </w:p>
          <w:p>
            <w:pPr>
              <w:spacing w:line="360" w:lineRule="auto"/>
              <w:rPr>
                <w:color w:val="auto"/>
                <w:szCs w:val="21"/>
              </w:rPr>
            </w:pPr>
            <w:r>
              <w:rPr>
                <w:rFonts w:hint="eastAsia"/>
                <w:color w:val="auto"/>
                <w:szCs w:val="21"/>
              </w:rPr>
              <w:t>设备设施（包括信息系统）</w:t>
            </w:r>
          </w:p>
          <w:p>
            <w:pPr>
              <w:spacing w:line="360" w:lineRule="auto"/>
              <w:rPr>
                <w:color w:val="auto"/>
                <w:szCs w:val="21"/>
              </w:rPr>
            </w:pPr>
            <w:r>
              <w:rPr>
                <w:rFonts w:hint="eastAsia"/>
                <w:color w:val="auto"/>
                <w:szCs w:val="21"/>
              </w:rPr>
              <w:t>特种设备</w:t>
            </w:r>
          </w:p>
          <w:p>
            <w:pPr>
              <w:spacing w:line="360" w:lineRule="auto"/>
              <w:rPr>
                <w:color w:val="auto"/>
                <w:szCs w:val="21"/>
              </w:rPr>
            </w:pPr>
            <w:r>
              <w:rPr>
                <w:rFonts w:hint="eastAsia"/>
                <w:color w:val="auto"/>
                <w:szCs w:val="21"/>
              </w:rPr>
              <w:t>监视和测量资源</w:t>
            </w:r>
          </w:p>
          <w:p>
            <w:pPr>
              <w:spacing w:line="360" w:lineRule="auto"/>
              <w:rPr>
                <w:rFonts w:hint="eastAsia"/>
                <w:color w:val="auto"/>
                <w:szCs w:val="21"/>
              </w:rPr>
            </w:pPr>
            <w:r>
              <w:rPr>
                <w:rFonts w:hint="eastAsia"/>
                <w:color w:val="auto"/>
                <w:szCs w:val="21"/>
              </w:rPr>
              <w:t>环保、安全设施</w:t>
            </w:r>
          </w:p>
        </w:tc>
        <w:tc>
          <w:tcPr>
            <w:tcW w:w="960" w:type="dxa"/>
          </w:tcPr>
          <w:p>
            <w:pPr>
              <w:spacing w:line="360" w:lineRule="auto"/>
              <w:rPr>
                <w:color w:val="auto"/>
                <w:szCs w:val="21"/>
              </w:rPr>
            </w:pPr>
          </w:p>
        </w:tc>
        <w:tc>
          <w:tcPr>
            <w:tcW w:w="10880" w:type="dxa"/>
          </w:tcPr>
          <w:p>
            <w:pPr>
              <w:spacing w:line="360" w:lineRule="auto"/>
              <w:rPr>
                <w:rFonts w:hint="eastAsia"/>
                <w:color w:val="auto"/>
                <w:szCs w:val="21"/>
              </w:rPr>
            </w:pPr>
            <w:r>
              <w:rPr>
                <w:rFonts w:hint="eastAsia"/>
                <w:color w:val="auto"/>
                <w:szCs w:val="21"/>
              </w:rPr>
              <w:t>主要施工机具设备：</w:t>
            </w:r>
            <w:r>
              <w:rPr>
                <w:rFonts w:hint="eastAsia" w:asciiTheme="minorEastAsia" w:hAnsiTheme="minorEastAsia" w:eastAsiaTheme="minorEastAsia" w:cstheme="minorEastAsia"/>
                <w:color w:val="auto"/>
                <w:szCs w:val="21"/>
              </w:rPr>
              <w:t>网线钳、测线仪、万用表、光纤熔接机、螺丝刀套装、压线工具、光纤剥离钳、线缆剪、光纤剪刀、剥线钳、充电起子、手电钻、梯子、管子钳、角磨机、切割机、卷尺、扳手</w:t>
            </w:r>
            <w:r>
              <w:rPr>
                <w:rFonts w:hint="eastAsia" w:asciiTheme="minorEastAsia" w:hAnsiTheme="minorEastAsia" w:eastAsiaTheme="minorEastAsia" w:cstheme="minorEastAsia"/>
                <w:color w:val="auto"/>
                <w:sz w:val="21"/>
                <w:szCs w:val="21"/>
                <w:lang w:val="en-US" w:eastAsia="zh-CN"/>
              </w:rPr>
              <w:t>等。</w:t>
            </w:r>
          </w:p>
          <w:p>
            <w:pPr>
              <w:spacing w:line="360" w:lineRule="auto"/>
              <w:rPr>
                <w:rFonts w:hint="default"/>
                <w:color w:val="auto"/>
                <w:szCs w:val="21"/>
                <w:lang w:val="en-US" w:eastAsia="zh-CN"/>
              </w:rPr>
            </w:pPr>
            <w:r>
              <w:rPr>
                <w:rFonts w:hint="eastAsia"/>
                <w:color w:val="auto"/>
                <w:szCs w:val="21"/>
                <w:lang w:val="en-US" w:eastAsia="zh-CN"/>
              </w:rPr>
              <w:t>特种设备：无</w:t>
            </w:r>
          </w:p>
          <w:p>
            <w:pPr>
              <w:spacing w:line="360" w:lineRule="auto"/>
              <w:rPr>
                <w:rFonts w:hint="eastAsia"/>
                <w:color w:val="auto"/>
                <w:szCs w:val="21"/>
                <w:lang w:eastAsia="zh-CN"/>
              </w:rPr>
            </w:pPr>
            <w:r>
              <w:rPr>
                <w:rFonts w:hint="eastAsia"/>
                <w:color w:val="auto"/>
                <w:szCs w:val="21"/>
                <w:lang w:val="en-US" w:eastAsia="zh-CN"/>
              </w:rPr>
              <w:t>见</w:t>
            </w:r>
            <w:r>
              <w:rPr>
                <w:rFonts w:hint="eastAsia"/>
                <w:color w:val="auto"/>
                <w:szCs w:val="21"/>
              </w:rPr>
              <w:t>《设备维修保养计划》、《设备维修保养记录》，运行维护基本有效</w:t>
            </w:r>
            <w:r>
              <w:rPr>
                <w:rFonts w:hint="eastAsia"/>
                <w:color w:val="auto"/>
                <w:szCs w:val="21"/>
                <w:lang w:eastAsia="zh-CN"/>
              </w:rPr>
              <w:t>。</w:t>
            </w:r>
          </w:p>
          <w:p>
            <w:pPr>
              <w:spacing w:line="360" w:lineRule="auto"/>
              <w:rPr>
                <w:rFonts w:hint="default"/>
                <w:color w:val="auto"/>
                <w:szCs w:val="21"/>
                <w:lang w:val="en-US" w:eastAsia="zh-CN"/>
              </w:rPr>
            </w:pPr>
            <w:r>
              <w:rPr>
                <w:rFonts w:hint="eastAsia"/>
                <w:color w:val="auto"/>
                <w:szCs w:val="21"/>
              </w:rPr>
              <w:t>监视和测量设备</w:t>
            </w:r>
            <w:r>
              <w:rPr>
                <w:rFonts w:hint="eastAsia"/>
                <w:color w:val="auto"/>
                <w:szCs w:val="21"/>
                <w:lang w:eastAsia="zh-CN"/>
              </w:rPr>
              <w:t>：</w:t>
            </w:r>
            <w:r>
              <w:rPr>
                <w:rFonts w:hint="eastAsia"/>
                <w:color w:val="auto"/>
                <w:szCs w:val="21"/>
                <w:lang w:val="en-US" w:eastAsia="zh-CN"/>
              </w:rPr>
              <w:t>卷尺、万用表等</w:t>
            </w:r>
          </w:p>
          <w:p>
            <w:pPr>
              <w:spacing w:line="360" w:lineRule="auto"/>
              <w:rPr>
                <w:rFonts w:hint="eastAsia"/>
                <w:color w:val="auto"/>
                <w:szCs w:val="21"/>
              </w:rPr>
            </w:pPr>
            <w:r>
              <w:rPr>
                <w:rFonts w:hint="eastAsia"/>
                <w:color w:val="auto"/>
                <w:szCs w:val="21"/>
              </w:rPr>
              <w:t>环保、安全设施有：垃圾桶、消防管线；安全设施配置主要有：围栏、标识牌、灭火器、消防器材等，定期维护与保养。二阶段进一步审核。</w:t>
            </w:r>
          </w:p>
        </w:tc>
        <w:tc>
          <w:tcPr>
            <w:tcW w:w="709" w:type="dxa"/>
          </w:tcPr>
          <w:p>
            <w:pPr>
              <w:pStyle w:val="2"/>
              <w:rPr>
                <w:color w:val="auto"/>
                <w:szCs w:val="21"/>
              </w:rPr>
            </w:pPr>
            <w:r>
              <w:rPr>
                <w:rFonts w:hint="eastAsia"/>
                <w:color w:val="auto"/>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160" w:type="dxa"/>
          </w:tcPr>
          <w:p>
            <w:pPr>
              <w:spacing w:line="360" w:lineRule="auto"/>
              <w:rPr>
                <w:color w:val="auto"/>
                <w:szCs w:val="21"/>
              </w:rPr>
            </w:pPr>
            <w:r>
              <w:rPr>
                <w:rFonts w:hint="eastAsia" w:ascii="宋体" w:hAnsi="宋体"/>
                <w:color w:val="auto"/>
                <w:szCs w:val="21"/>
              </w:rPr>
              <w:t>财务费用支出等</w:t>
            </w:r>
          </w:p>
          <w:p>
            <w:pPr>
              <w:spacing w:line="360" w:lineRule="auto"/>
              <w:rPr>
                <w:rFonts w:hint="eastAsia"/>
                <w:color w:val="auto"/>
                <w:szCs w:val="21"/>
              </w:rPr>
            </w:pPr>
          </w:p>
        </w:tc>
        <w:tc>
          <w:tcPr>
            <w:tcW w:w="960" w:type="dxa"/>
          </w:tcPr>
          <w:p>
            <w:pPr>
              <w:spacing w:line="360" w:lineRule="auto"/>
              <w:rPr>
                <w:color w:val="auto"/>
                <w:szCs w:val="21"/>
              </w:rPr>
            </w:pPr>
          </w:p>
        </w:tc>
        <w:tc>
          <w:tcPr>
            <w:tcW w:w="10880" w:type="dxa"/>
          </w:tcPr>
          <w:p>
            <w:pPr>
              <w:pStyle w:val="2"/>
              <w:spacing w:line="360" w:lineRule="auto"/>
              <w:rPr>
                <w:rFonts w:hint="eastAsia"/>
                <w:color w:val="auto"/>
                <w:szCs w:val="21"/>
              </w:rPr>
            </w:pPr>
            <w:r>
              <w:rPr>
                <w:rFonts w:hint="eastAsia"/>
                <w:bCs w:val="0"/>
                <w:color w:val="auto"/>
                <w:spacing w:val="0"/>
                <w:szCs w:val="21"/>
              </w:rPr>
              <w:t>经了解，财务部的投入包括</w:t>
            </w:r>
            <w:r>
              <w:rPr>
                <w:rFonts w:hint="eastAsia" w:ascii="宋体" w:hAnsi="宋体" w:cs="楷体_GB2312"/>
                <w:color w:val="auto"/>
                <w:szCs w:val="21"/>
              </w:rPr>
              <w:t>员工职业健康的体检费用、安全环保消防监测费用、员工劳保用品费用、防暑降温费用、员工社保的费用等，二阶段详查。</w:t>
            </w:r>
          </w:p>
        </w:tc>
        <w:tc>
          <w:tcPr>
            <w:tcW w:w="709" w:type="dxa"/>
          </w:tcPr>
          <w:p>
            <w:pPr>
              <w:pStyle w:val="2"/>
              <w:rPr>
                <w:color w:val="auto"/>
                <w:szCs w:val="21"/>
              </w:rPr>
            </w:pPr>
            <w:r>
              <w:rPr>
                <w:rFonts w:hint="eastAsia"/>
                <w:color w:val="auto"/>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color w:val="auto"/>
                <w:szCs w:val="21"/>
              </w:rPr>
            </w:pPr>
          </w:p>
          <w:p>
            <w:pPr>
              <w:spacing w:line="360" w:lineRule="auto"/>
              <w:rPr>
                <w:color w:val="auto"/>
                <w:szCs w:val="21"/>
              </w:rPr>
            </w:pPr>
            <w:r>
              <w:rPr>
                <w:rFonts w:hint="eastAsia"/>
                <w:color w:val="auto"/>
              </w:rPr>
              <w:t>应急预案及演习</w:t>
            </w:r>
          </w:p>
          <w:p>
            <w:pPr>
              <w:spacing w:line="360" w:lineRule="auto"/>
              <w:rPr>
                <w:color w:val="auto"/>
                <w:szCs w:val="21"/>
              </w:rPr>
            </w:pPr>
            <w:r>
              <w:rPr>
                <w:rFonts w:hint="eastAsia"/>
                <w:color w:val="auto"/>
                <w:szCs w:val="21"/>
              </w:rPr>
              <w:t>现场观察</w:t>
            </w:r>
          </w:p>
          <w:p>
            <w:pPr>
              <w:spacing w:line="360" w:lineRule="auto"/>
              <w:rPr>
                <w:color w:val="auto"/>
                <w:szCs w:val="21"/>
              </w:rPr>
            </w:pPr>
          </w:p>
        </w:tc>
        <w:tc>
          <w:tcPr>
            <w:tcW w:w="960" w:type="dxa"/>
          </w:tcPr>
          <w:p>
            <w:pPr>
              <w:spacing w:line="360" w:lineRule="auto"/>
              <w:rPr>
                <w:color w:val="auto"/>
                <w:szCs w:val="21"/>
              </w:rPr>
            </w:pPr>
          </w:p>
        </w:tc>
        <w:tc>
          <w:tcPr>
            <w:tcW w:w="10880" w:type="dxa"/>
          </w:tcPr>
          <w:p>
            <w:pPr>
              <w:spacing w:line="360" w:lineRule="auto"/>
              <w:rPr>
                <w:bCs w:val="0"/>
                <w:color w:val="auto"/>
                <w:spacing w:val="0"/>
                <w:szCs w:val="21"/>
              </w:rPr>
            </w:pPr>
            <w:r>
              <w:rPr>
                <w:rFonts w:hint="eastAsia" w:ascii="宋体" w:hAnsi="宋体" w:cs="楷体_GB2312"/>
                <w:bCs/>
                <w:color w:val="auto"/>
                <w:spacing w:val="10"/>
                <w:szCs w:val="21"/>
              </w:rPr>
              <w:t>公司已经组织进行了火灾消防演习等应急预案及演习。二阶段详查</w:t>
            </w:r>
          </w:p>
          <w:p>
            <w:pPr>
              <w:spacing w:line="360" w:lineRule="auto"/>
              <w:rPr>
                <w:color w:val="auto"/>
                <w:szCs w:val="21"/>
              </w:rPr>
            </w:pPr>
            <w:r>
              <w:rPr>
                <w:rFonts w:hint="eastAsia"/>
                <w:color w:val="auto"/>
                <w:szCs w:val="21"/>
              </w:rPr>
              <w:t>各部门及项目经理有独立办公室；工作环境整洁，配备有办公桌椅、电脑、打印机、电话、空调</w:t>
            </w:r>
            <w:r>
              <w:rPr>
                <w:rFonts w:hint="eastAsia"/>
                <w:color w:val="auto"/>
                <w:szCs w:val="21"/>
                <w:lang w:eastAsia="zh-CN"/>
              </w:rPr>
              <w:t>、</w:t>
            </w:r>
            <w:r>
              <w:rPr>
                <w:rFonts w:hint="eastAsia"/>
                <w:color w:val="auto"/>
                <w:szCs w:val="21"/>
              </w:rPr>
              <w:t>灭火器等设施；</w:t>
            </w:r>
          </w:p>
          <w:p>
            <w:pPr>
              <w:spacing w:line="360" w:lineRule="auto"/>
              <w:rPr>
                <w:bCs w:val="0"/>
                <w:color w:val="auto"/>
                <w:spacing w:val="0"/>
                <w:szCs w:val="21"/>
              </w:rPr>
            </w:pPr>
            <w:r>
              <w:rPr>
                <w:rFonts w:hint="eastAsia"/>
                <w:color w:val="auto"/>
                <w:szCs w:val="21"/>
              </w:rPr>
              <w:t>项目部现场看到：施工现场均设有临时综合办公室、生活区和临时仓库等</w:t>
            </w:r>
            <w:r>
              <w:rPr>
                <w:rFonts w:hint="eastAsia"/>
                <w:color w:val="auto"/>
                <w:szCs w:val="21"/>
                <w:lang w:eastAsia="zh-CN"/>
              </w:rPr>
              <w:t>，</w:t>
            </w:r>
            <w:r>
              <w:rPr>
                <w:rFonts w:hint="eastAsia"/>
                <w:bCs w:val="0"/>
                <w:color w:val="auto"/>
                <w:spacing w:val="0"/>
                <w:szCs w:val="21"/>
              </w:rPr>
              <w:t>现场配备灭火器。运行环境，现场巡查，设备、材料等放置较整齐，基本满足规范要求。</w:t>
            </w:r>
          </w:p>
          <w:p>
            <w:pPr>
              <w:spacing w:line="360" w:lineRule="auto"/>
              <w:rPr>
                <w:color w:val="auto"/>
                <w:szCs w:val="21"/>
              </w:rPr>
            </w:pPr>
            <w:r>
              <w:rPr>
                <w:rFonts w:hint="eastAsia"/>
                <w:color w:val="auto"/>
                <w:szCs w:val="21"/>
              </w:rPr>
              <w:t>二阶段跟踪审核。</w:t>
            </w:r>
          </w:p>
        </w:tc>
        <w:tc>
          <w:tcPr>
            <w:tcW w:w="709" w:type="dxa"/>
          </w:tcPr>
          <w:p>
            <w:pPr>
              <w:rPr>
                <w:color w:val="auto"/>
              </w:rPr>
            </w:pPr>
            <w:r>
              <w:rPr>
                <w:rFonts w:hint="eastAsia"/>
                <w:color w:val="auto"/>
                <w:szCs w:val="21"/>
                <w:lang w:val="en-US" w:eastAsia="zh-CN"/>
              </w:rPr>
              <w:t>OK</w:t>
            </w:r>
          </w:p>
          <w:p>
            <w:pPr>
              <w:pStyle w:val="2"/>
              <w:rPr>
                <w:color w:val="auto"/>
              </w:rPr>
            </w:pPr>
          </w:p>
          <w:p>
            <w:pPr>
              <w:rPr>
                <w:color w:val="auto"/>
              </w:rPr>
            </w:pPr>
          </w:p>
          <w:p>
            <w:pPr>
              <w:rPr>
                <w:color w:val="auto"/>
                <w:szCs w:val="21"/>
              </w:rPr>
            </w:pPr>
          </w:p>
        </w:tc>
      </w:tr>
    </w:tbl>
    <w:p>
      <w:pPr>
        <w:pStyle w:val="4"/>
        <w:rPr>
          <w:color w:val="auto"/>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4A26F2"/>
    <w:rsid w:val="04BF0D60"/>
    <w:rsid w:val="05603C77"/>
    <w:rsid w:val="06B2004E"/>
    <w:rsid w:val="0AFC0EB8"/>
    <w:rsid w:val="0BC438C4"/>
    <w:rsid w:val="0BE924CB"/>
    <w:rsid w:val="0DC46C7F"/>
    <w:rsid w:val="0DD835D3"/>
    <w:rsid w:val="0DE502A7"/>
    <w:rsid w:val="103B1E31"/>
    <w:rsid w:val="10BC24AA"/>
    <w:rsid w:val="119D431E"/>
    <w:rsid w:val="11AA2DEB"/>
    <w:rsid w:val="13A31B60"/>
    <w:rsid w:val="16AA2FF7"/>
    <w:rsid w:val="16BA6761"/>
    <w:rsid w:val="16F60BC5"/>
    <w:rsid w:val="179956BA"/>
    <w:rsid w:val="18AD5D0B"/>
    <w:rsid w:val="1B3C6B12"/>
    <w:rsid w:val="1BCC4FDD"/>
    <w:rsid w:val="1BF07975"/>
    <w:rsid w:val="1BF353E7"/>
    <w:rsid w:val="1C4B7449"/>
    <w:rsid w:val="1D634B79"/>
    <w:rsid w:val="1E6B0375"/>
    <w:rsid w:val="1F044036"/>
    <w:rsid w:val="1FAF57CA"/>
    <w:rsid w:val="20D66D94"/>
    <w:rsid w:val="21384999"/>
    <w:rsid w:val="21C67C49"/>
    <w:rsid w:val="21F03CEC"/>
    <w:rsid w:val="25892512"/>
    <w:rsid w:val="25DD4933"/>
    <w:rsid w:val="2641639F"/>
    <w:rsid w:val="26570138"/>
    <w:rsid w:val="27212924"/>
    <w:rsid w:val="282C0978"/>
    <w:rsid w:val="29014CCB"/>
    <w:rsid w:val="29316756"/>
    <w:rsid w:val="2B5F3F1B"/>
    <w:rsid w:val="2C884E62"/>
    <w:rsid w:val="2CE43708"/>
    <w:rsid w:val="2CFF3A61"/>
    <w:rsid w:val="2D8C1035"/>
    <w:rsid w:val="30173897"/>
    <w:rsid w:val="30256CC0"/>
    <w:rsid w:val="311B3780"/>
    <w:rsid w:val="31544A83"/>
    <w:rsid w:val="330934C2"/>
    <w:rsid w:val="34F2679A"/>
    <w:rsid w:val="355B702C"/>
    <w:rsid w:val="35D529A2"/>
    <w:rsid w:val="38B9215A"/>
    <w:rsid w:val="394E733E"/>
    <w:rsid w:val="39FE6A03"/>
    <w:rsid w:val="3EA34A28"/>
    <w:rsid w:val="3EEB5615"/>
    <w:rsid w:val="3F31670C"/>
    <w:rsid w:val="40CA668F"/>
    <w:rsid w:val="410856F6"/>
    <w:rsid w:val="41B11C80"/>
    <w:rsid w:val="42A34903"/>
    <w:rsid w:val="432F6085"/>
    <w:rsid w:val="44616A36"/>
    <w:rsid w:val="45B32D3F"/>
    <w:rsid w:val="45F73011"/>
    <w:rsid w:val="493414C5"/>
    <w:rsid w:val="497A53A0"/>
    <w:rsid w:val="499F082A"/>
    <w:rsid w:val="49B91E42"/>
    <w:rsid w:val="4BA17131"/>
    <w:rsid w:val="4C9E6166"/>
    <w:rsid w:val="4CE97BD0"/>
    <w:rsid w:val="4D687165"/>
    <w:rsid w:val="4EBA286C"/>
    <w:rsid w:val="530B6ABB"/>
    <w:rsid w:val="5B2C2E89"/>
    <w:rsid w:val="5B317C14"/>
    <w:rsid w:val="5C90183E"/>
    <w:rsid w:val="5F055FCC"/>
    <w:rsid w:val="5FF97AC0"/>
    <w:rsid w:val="62E81B8A"/>
    <w:rsid w:val="636F790A"/>
    <w:rsid w:val="6448063C"/>
    <w:rsid w:val="6502753B"/>
    <w:rsid w:val="652B3E31"/>
    <w:rsid w:val="66D67B8F"/>
    <w:rsid w:val="67C74F6D"/>
    <w:rsid w:val="67E72718"/>
    <w:rsid w:val="67F15140"/>
    <w:rsid w:val="69591213"/>
    <w:rsid w:val="69726264"/>
    <w:rsid w:val="6A0D33F8"/>
    <w:rsid w:val="6A587F36"/>
    <w:rsid w:val="6FF57EA0"/>
    <w:rsid w:val="70032B3A"/>
    <w:rsid w:val="721A0677"/>
    <w:rsid w:val="72CE3863"/>
    <w:rsid w:val="72F953FD"/>
    <w:rsid w:val="73A769B5"/>
    <w:rsid w:val="750D4045"/>
    <w:rsid w:val="750F35BC"/>
    <w:rsid w:val="750F509C"/>
    <w:rsid w:val="7930555C"/>
    <w:rsid w:val="7A555567"/>
    <w:rsid w:val="7AF85CFE"/>
    <w:rsid w:val="7BA366E7"/>
    <w:rsid w:val="7F025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rFonts w:ascii="Times New Roman" w:hAnsi="Times New Roman" w:eastAsia="宋体" w:cs="Times New Roman"/>
      <w:sz w:val="18"/>
      <w:szCs w:val="18"/>
    </w:rPr>
  </w:style>
  <w:style w:type="character" w:customStyle="1" w:styleId="11">
    <w:name w:val="页脚 Char"/>
    <w:basedOn w:val="9"/>
    <w:link w:val="4"/>
    <w:qFormat/>
    <w:uiPriority w:val="99"/>
    <w:rPr>
      <w:rFonts w:ascii="Times New Roman" w:hAnsi="Times New Roman" w:eastAsia="宋体" w:cs="Times New Roman"/>
      <w:sz w:val="18"/>
      <w:szCs w:val="18"/>
    </w:rPr>
  </w:style>
  <w:style w:type="character" w:customStyle="1" w:styleId="12">
    <w:name w:val="批注框文本 Char"/>
    <w:basedOn w:val="9"/>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2020-10-23T22:43:27Z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