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重庆市万州区其富电力金具有限公司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0353-2022-EO-2023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重庆市万州区高梁镇柳湾村六组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牟其富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重庆市万州区高梁镇柳湾村六组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牟一军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13896380300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13896380300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E：电力铁附件的销售所涉及场所的相关环境管理活动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O：电力铁附件的销售所涉及场所的相关职业健康安全管理活动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/>
                <w:bCs/>
                <w:szCs w:val="21"/>
                <w:highlight w:val="none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bookmarkStart w:id="16" w:name="企业人数"/>
            <w:r>
              <w:rPr>
                <w:rFonts w:ascii="宋体"/>
                <w:bCs/>
                <w:szCs w:val="21"/>
                <w:highlight w:val="none"/>
              </w:rPr>
              <w:t>17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bookmarkStart w:id="17" w:name="体系人数"/>
            <w:r>
              <w:rPr>
                <w:rFonts w:ascii="宋体"/>
                <w:bCs/>
                <w:szCs w:val="21"/>
                <w:highlight w:val="none"/>
              </w:rPr>
              <w:t>E:5,O:5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部门：管理层、行政部/财务部、技质部、供销部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EMS:4.1、4.2、4.3、4.4、5.2、5.3、6.1、6.2、7.4、8.1、8.2、9.1、9.2、9.3、10.1、10.2、10.3;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OHSMS:4.1、4.2、4.3、4.4、5.2、5.3、5.4、6.1、6.2、7.4、8.1、8.2、9.1、9.2、9.3、10.1、10.2、10.3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 xml:space="preserve"> 0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：□一般不符合   □严重不符合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关注环境、安全运行控制，应急预案演练等。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   2023年3月14日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46AB4BEC"/>
    <w:rsid w:val="470F4AE3"/>
    <w:rsid w:val="49D62A28"/>
    <w:rsid w:val="72314DDF"/>
    <w:rsid w:val="7E786F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1861</Words>
  <Characters>2084</Characters>
  <Lines>16</Lines>
  <Paragraphs>4</Paragraphs>
  <TotalTime>6</TotalTime>
  <ScaleCrop>false</ScaleCrop>
  <LinksUpToDate>false</LinksUpToDate>
  <CharactersWithSpaces>2593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2023-03-14T06:59:38Z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