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重庆市长寿区晏家双园路55号6幢1-3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重庆市长寿区凤城街道三洞村十组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席雨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18623184753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2752738635@qq.com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焦小峰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0532-2021-EO-2023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E：塑料编织袋、集装袋的销售所涉及场所的相关环境管理活动。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O：塑料编织袋、集装袋的销售所涉及场所的相关职业健康安全管理活动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2023年03月13日 上午至2023年03月13日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含管代，安全事务代表）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7.1资源；7.4信息和沟通；7.5.1文件化信息总则；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9.1监视、测量、分析和评价；9.3管理评审；10.1改进 总则；10.3持续改进。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范围的确认，资质的确认，管理体系变化情况、法律法规执行情况，重大环境安全事故，及环境安全投诉、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</w:t>
            </w:r>
            <w:r>
              <w:rPr>
                <w:rFonts w:hint="eastAsia" w:ascii="宋体" w:hAnsi="宋体" w:cs="宋体"/>
                <w:sz w:val="21"/>
                <w:szCs w:val="21"/>
              </w:rPr>
              <w:t>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行政部EO9.1.2条款）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8.1运行策划和控制；8.2应急准备和响应；9.1监视、测量、分析与评估；9.1.2符合性评估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（上次不符合项验证）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；9.2内部审核；10.2不合格和纠正措施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7.2能力；7.3意识；7.4信息和沟通；7.5文件化信息；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8.1运行策划和控制；8.2应急准备和响应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21"/>
                <w:szCs w:val="21"/>
              </w:rPr>
              <w:t>；9.1监视、测量、分析和评价；9.1.2法律法规要求和其他要求的合规性评价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（上次不符合项验证）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；9.2内部审核；10.2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OHSMS运行控制财务支出证据。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5.3组织的角色、职责和权限、6.2目标及其达成的策划、6.1.2环境因素7.4沟通；8.1运行策划和控制；8.2应急准备和响应；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D556A2"/>
    <w:rsid w:val="178B40C7"/>
    <w:rsid w:val="18DF4C0C"/>
    <w:rsid w:val="4C0E2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2062</Words>
  <Characters>2914</Characters>
  <Lines>37</Lines>
  <Paragraphs>10</Paragraphs>
  <TotalTime>1</TotalTime>
  <ScaleCrop>false</ScaleCrop>
  <LinksUpToDate>false</LinksUpToDate>
  <CharactersWithSpaces>2974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2023-03-13T05:45:10Z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