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东力(南通)化工有限公司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0007-2020-QEO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2018-N1QMS-1011923</w:t>
            </w:r>
          </w:p>
          <w:p w:rsidR="009F508A">
            <w:pPr>
              <w:snapToGrid w:val="0"/>
              <w:spacing w:line="320" w:lineRule="exact"/>
              <w:ind w:left="1309"/>
              <w:rPr>
                <w:sz w:val="22"/>
                <w:szCs w:val="22"/>
                <w:highlight w:val="yellow"/>
              </w:rPr>
            </w:pPr>
            <w:r>
              <w:rPr>
                <w:sz w:val="22"/>
                <w:szCs w:val="22"/>
                <w:highlight w:val="yellow"/>
              </w:rPr>
              <w:t>2018-N1EMS-3011923</w:t>
            </w:r>
          </w:p>
          <w:p w:rsidR="009F508A">
            <w:pPr>
              <w:snapToGrid w:val="0"/>
              <w:spacing w:line="320" w:lineRule="exact"/>
              <w:ind w:left="1309"/>
              <w:rPr>
                <w:sz w:val="22"/>
                <w:szCs w:val="22"/>
                <w:highlight w:val="yellow"/>
              </w:rPr>
            </w:pPr>
            <w:r>
              <w:rPr>
                <w:sz w:val="22"/>
                <w:szCs w:val="22"/>
                <w:highlight w:val="yellow"/>
              </w:rPr>
              <w:t>2017-N1OHSMS-2011923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2017-N1EMS-3047774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2020-N0OHSMS-1258213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胡益民</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2020N0QMS-1263842</w:t>
            </w:r>
          </w:p>
          <w:p w:rsidR="009F508A">
            <w:pPr>
              <w:snapToGrid w:val="0"/>
              <w:spacing w:line="320" w:lineRule="exact"/>
              <w:ind w:left="1309"/>
              <w:rPr>
                <w:sz w:val="22"/>
                <w:szCs w:val="22"/>
                <w:highlight w:val="yellow"/>
              </w:rPr>
            </w:pPr>
            <w:r>
              <w:rPr>
                <w:sz w:val="22"/>
                <w:szCs w:val="22"/>
                <w:highlight w:val="yellow"/>
              </w:rPr>
              <w:t>2020N0EMS-1263842</w:t>
            </w:r>
          </w:p>
          <w:p w:rsidR="009F508A">
            <w:pPr>
              <w:snapToGrid w:val="0"/>
              <w:spacing w:line="320" w:lineRule="exact"/>
              <w:ind w:left="1309"/>
              <w:rPr>
                <w:sz w:val="22"/>
                <w:szCs w:val="22"/>
                <w:highlight w:val="yellow"/>
              </w:rPr>
            </w:pPr>
            <w:r>
              <w:rPr>
                <w:sz w:val="22"/>
                <w:szCs w:val="22"/>
                <w:highlight w:val="yellow"/>
              </w:rPr>
              <w:t>扬州大学</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