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深圳市永益华贸易有限公司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0179-2023-H</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深圳市龙华新区大浪街道部九窝龙军工业区八栋一楼</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刘巍巍</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广东省深圳市龙华新区大浪街道部九窝龙军工业区八栋一楼</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罗雄科</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15118067329</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15118067329</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危害分析与关键控制点体系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危害分析与关键控制点（HACCP）体系认证要求（V1.0）</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位于广东省深圳市龙华新区大浪街道部九窝龙军工业区八栋一楼深圳市永益华贸易有限公司的初级农产品(鲜禽畜肉、鲜禽蛋和果蔬)、预包装食品（米、面、粮油、调味品）、散装食品（干杂）的销售</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FI-2</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110</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110</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