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重庆源一科技有限公司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重庆市江北区山水丽都98号7-1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重庆市江北区鹞子丘路68号2幢17-16/17/18/19</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0076-2023-EO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李研</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17774904883</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2741698237@qq.com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钟波</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E：计算机软件开发及电子产品销售所涉及场所的相关环境管理活动</w:t>
            </w:r>
          </w:p>
          <w:p>
            <w:r>
              <w:t>O：计算机软件开发及电子产品销售所涉及场所的相关职业健康安全管理活动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E：29.09.02;33.02.01</w:t>
            </w:r>
          </w:p>
          <w:p>
            <w:r>
              <w:t>O：29.09.02;33.02.01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/0版)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2023年03月08日 上午至2023年03月08日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杨珍全</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2021-N1EMS-2230067</w:t>
            </w:r>
          </w:p>
          <w:p>
            <w:pPr>
              <w:jc w:val="center"/>
              <w:rPr>
                <w:sz w:val="21"/>
                <w:szCs w:val="21"/>
              </w:rPr>
            </w:pPr>
            <w:r>
              <w:rPr>
                <w:sz w:val="21"/>
                <w:szCs w:val="21"/>
              </w:rPr>
              <w:t>2021-N1OHSMS-2230067</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E:29.09.02,33.02.01</w:t>
            </w:r>
          </w:p>
          <w:p>
            <w:pPr>
              <w:jc w:val="center"/>
              <w:rPr>
                <w:sz w:val="21"/>
                <w:szCs w:val="21"/>
              </w:rPr>
            </w:pPr>
            <w:r>
              <w:rPr>
                <w:sz w:val="21"/>
                <w:szCs w:val="21"/>
              </w:rPr>
              <w:t>O:29.09.02,33.02.01</w:t>
            </w:r>
          </w:p>
        </w:tc>
        <w:tc>
          <w:tcPr>
            <w:tcW w:w="1393" w:type="dxa"/>
            <w:gridSpan w:val="3"/>
            <w:vAlign w:val="center"/>
          </w:tcPr>
          <w:p>
            <w:pPr>
              <w:jc w:val="center"/>
              <w:rPr>
                <w:sz w:val="21"/>
                <w:szCs w:val="21"/>
              </w:rPr>
            </w:pPr>
            <w:r>
              <w:rPr>
                <w:sz w:val="21"/>
                <w:szCs w:val="21"/>
              </w:rPr>
              <w:t>13883847833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杨珍全</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13883847833</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2023.3.5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25"/>
        <w:gridCol w:w="698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88"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25" w:type="dxa"/>
            <w:vAlign w:val="center"/>
          </w:tcPr>
          <w:p>
            <w:pPr>
              <w:snapToGrid w:val="0"/>
              <w:spacing w:line="280" w:lineRule="exact"/>
              <w:jc w:val="center"/>
              <w:rPr>
                <w:b/>
                <w:sz w:val="21"/>
                <w:szCs w:val="21"/>
              </w:rPr>
            </w:pPr>
            <w:r>
              <w:rPr>
                <w:rFonts w:hint="eastAsia"/>
                <w:b/>
                <w:sz w:val="21"/>
                <w:szCs w:val="21"/>
              </w:rPr>
              <w:t>时间</w:t>
            </w:r>
          </w:p>
        </w:tc>
        <w:tc>
          <w:tcPr>
            <w:tcW w:w="6987"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077"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88" w:type="dxa"/>
            <w:vMerge w:val="restart"/>
            <w:tcBorders>
              <w:left w:val="single" w:color="auto" w:sz="8" w:space="0"/>
            </w:tcBorders>
            <w:vAlign w:val="center"/>
          </w:tcPr>
          <w:p>
            <w:pPr>
              <w:snapToGrid w:val="0"/>
              <w:spacing w:line="280" w:lineRule="exact"/>
              <w:jc w:val="center"/>
              <w:rPr>
                <w:rFonts w:hint="eastAsia"/>
                <w:b/>
                <w:sz w:val="24"/>
                <w:szCs w:val="24"/>
                <w:lang w:val="en-US" w:eastAsia="zh-CN"/>
              </w:rPr>
            </w:pPr>
            <w:r>
              <w:rPr>
                <w:rFonts w:hint="eastAsia"/>
                <w:b/>
                <w:sz w:val="24"/>
                <w:szCs w:val="24"/>
                <w:lang w:val="en-US" w:eastAsia="zh-CN"/>
              </w:rPr>
              <w:t>3</w:t>
            </w:r>
          </w:p>
          <w:p>
            <w:pPr>
              <w:snapToGrid w:val="0"/>
              <w:spacing w:line="280" w:lineRule="exact"/>
              <w:jc w:val="center"/>
              <w:rPr>
                <w:rFonts w:hint="eastAsia"/>
                <w:b/>
                <w:sz w:val="24"/>
                <w:szCs w:val="24"/>
                <w:lang w:val="en-US" w:eastAsia="zh-CN"/>
              </w:rPr>
            </w:pPr>
            <w:r>
              <w:rPr>
                <w:rFonts w:hint="eastAsia"/>
                <w:b/>
                <w:sz w:val="24"/>
                <w:szCs w:val="24"/>
                <w:lang w:val="en-US" w:eastAsia="zh-CN"/>
              </w:rPr>
              <w:t>月</w:t>
            </w:r>
          </w:p>
          <w:p>
            <w:pPr>
              <w:snapToGrid w:val="0"/>
              <w:spacing w:line="280" w:lineRule="exact"/>
              <w:jc w:val="center"/>
              <w:rPr>
                <w:rFonts w:hint="eastAsia"/>
                <w:b/>
                <w:sz w:val="24"/>
                <w:szCs w:val="24"/>
                <w:lang w:val="en-US" w:eastAsia="zh-CN"/>
              </w:rPr>
            </w:pPr>
            <w:r>
              <w:rPr>
                <w:rFonts w:hint="eastAsia"/>
                <w:b/>
                <w:sz w:val="24"/>
                <w:szCs w:val="24"/>
                <w:lang w:val="en-US" w:eastAsia="zh-CN"/>
              </w:rPr>
              <w:t>8</w:t>
            </w:r>
          </w:p>
          <w:p>
            <w:pPr>
              <w:snapToGrid w:val="0"/>
              <w:spacing w:line="280" w:lineRule="exact"/>
              <w:jc w:val="center"/>
              <w:rPr>
                <w:rFonts w:hint="eastAsia"/>
                <w:b/>
                <w:sz w:val="24"/>
                <w:szCs w:val="24"/>
                <w:lang w:val="en-US" w:eastAsia="zh-CN"/>
              </w:rPr>
            </w:pPr>
            <w:r>
              <w:rPr>
                <w:rFonts w:hint="eastAsia"/>
                <w:b/>
                <w:sz w:val="24"/>
                <w:szCs w:val="24"/>
                <w:lang w:val="en-US" w:eastAsia="zh-CN"/>
              </w:rPr>
              <w:t>日</w:t>
            </w:r>
          </w:p>
          <w:p>
            <w:pPr>
              <w:snapToGrid w:val="0"/>
              <w:spacing w:line="280" w:lineRule="exact"/>
              <w:jc w:val="left"/>
              <w:rPr>
                <w:rFonts w:hint="default" w:eastAsia="宋体"/>
                <w:b/>
                <w:sz w:val="21"/>
                <w:szCs w:val="21"/>
                <w:lang w:val="en-US" w:eastAsia="zh-CN"/>
              </w:rPr>
            </w:pPr>
            <w:r>
              <w:rPr>
                <w:rFonts w:hint="eastAsia"/>
                <w:b/>
                <w:sz w:val="21"/>
                <w:szCs w:val="21"/>
                <w:lang w:val="en-US" w:eastAsia="zh-CN"/>
              </w:rPr>
              <w:t>（午餐12：00-12：30）</w:t>
            </w:r>
          </w:p>
        </w:tc>
        <w:tc>
          <w:tcPr>
            <w:tcW w:w="1325"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987" w:type="dxa"/>
            <w:vAlign w:val="center"/>
          </w:tcPr>
          <w:p>
            <w:pPr>
              <w:snapToGrid w:val="0"/>
              <w:spacing w:line="280" w:lineRule="exact"/>
              <w:jc w:val="center"/>
              <w:rPr>
                <w:b/>
                <w:sz w:val="21"/>
                <w:szCs w:val="21"/>
              </w:rPr>
            </w:pPr>
            <w:r>
              <w:rPr>
                <w:rFonts w:hint="eastAsia"/>
                <w:b/>
                <w:sz w:val="21"/>
                <w:szCs w:val="21"/>
              </w:rPr>
              <w:t>首次会议</w:t>
            </w:r>
          </w:p>
        </w:tc>
        <w:tc>
          <w:tcPr>
            <w:tcW w:w="1077" w:type="dxa"/>
            <w:tcBorders>
              <w:right w:val="single" w:color="auto" w:sz="8" w:space="0"/>
            </w:tcBorders>
            <w:vAlign w:val="center"/>
          </w:tcPr>
          <w:p>
            <w:pPr>
              <w:snapToGrid w:val="0"/>
              <w:spacing w:line="280" w:lineRule="exact"/>
              <w:jc w:val="both"/>
              <w:rPr>
                <w:rFonts w:hint="default" w:eastAsia="宋体"/>
                <w:b/>
                <w:sz w:val="21"/>
                <w:szCs w:val="21"/>
                <w:lang w:val="en-US" w:eastAsia="zh-CN"/>
              </w:rPr>
            </w:pPr>
            <w:r>
              <w:rPr>
                <w:rFonts w:hint="eastAsia"/>
                <w:b/>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88" w:type="dxa"/>
            <w:vMerge w:val="continue"/>
            <w:tcBorders>
              <w:left w:val="single" w:color="auto" w:sz="8" w:space="0"/>
            </w:tcBorders>
            <w:vAlign w:val="center"/>
          </w:tcPr>
          <w:p>
            <w:pPr>
              <w:snapToGrid w:val="0"/>
              <w:spacing w:line="280" w:lineRule="exact"/>
              <w:jc w:val="left"/>
              <w:rPr>
                <w:b/>
                <w:sz w:val="21"/>
                <w:szCs w:val="21"/>
              </w:rPr>
            </w:pPr>
          </w:p>
        </w:tc>
        <w:tc>
          <w:tcPr>
            <w:tcW w:w="1325" w:type="dxa"/>
            <w:vAlign w:val="top"/>
          </w:tcPr>
          <w:p>
            <w:pPr>
              <w:snapToGrid w:val="0"/>
              <w:spacing w:line="280" w:lineRule="exact"/>
              <w:jc w:val="both"/>
              <w:rPr>
                <w:rFonts w:hint="eastAsia"/>
                <w:b/>
                <w:sz w:val="21"/>
                <w:szCs w:val="21"/>
                <w:lang w:val="en-US" w:eastAsia="zh-CN"/>
              </w:rPr>
            </w:pPr>
            <w:r>
              <w:rPr>
                <w:rFonts w:hint="eastAsia"/>
                <w:b/>
                <w:sz w:val="21"/>
                <w:szCs w:val="21"/>
                <w:lang w:val="en-US" w:eastAsia="zh-CN"/>
              </w:rPr>
              <w:t>9:00-9:30</w:t>
            </w:r>
          </w:p>
          <w:p>
            <w:pPr>
              <w:snapToGrid w:val="0"/>
              <w:spacing w:line="280" w:lineRule="exact"/>
              <w:jc w:val="both"/>
              <w:rPr>
                <w:rFonts w:hint="default"/>
                <w:b/>
                <w:sz w:val="21"/>
                <w:szCs w:val="21"/>
                <w:lang w:val="en-US" w:eastAsia="zh-CN"/>
              </w:rPr>
            </w:pPr>
          </w:p>
        </w:tc>
        <w:tc>
          <w:tcPr>
            <w:tcW w:w="6987"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077" w:type="dxa"/>
            <w:tcBorders>
              <w:right w:val="single" w:color="auto" w:sz="8" w:space="0"/>
            </w:tcBorders>
            <w:vAlign w:val="center"/>
          </w:tcPr>
          <w:p>
            <w:pPr>
              <w:snapToGrid w:val="0"/>
              <w:spacing w:line="280" w:lineRule="exact"/>
              <w:jc w:val="left"/>
              <w:rPr>
                <w:b/>
                <w:sz w:val="21"/>
                <w:szCs w:val="21"/>
              </w:rPr>
            </w:pPr>
            <w:r>
              <w:rPr>
                <w:rFonts w:hint="eastAsia"/>
                <w:b/>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88" w:type="dxa"/>
            <w:vMerge w:val="continue"/>
            <w:tcBorders>
              <w:left w:val="single" w:color="auto" w:sz="8" w:space="0"/>
            </w:tcBorders>
            <w:vAlign w:val="center"/>
          </w:tcPr>
          <w:p>
            <w:pPr>
              <w:snapToGrid w:val="0"/>
              <w:spacing w:line="280" w:lineRule="exact"/>
              <w:jc w:val="left"/>
              <w:rPr>
                <w:b/>
                <w:sz w:val="21"/>
                <w:szCs w:val="21"/>
              </w:rPr>
            </w:pPr>
          </w:p>
        </w:tc>
        <w:tc>
          <w:tcPr>
            <w:tcW w:w="1325" w:type="dxa"/>
            <w:vAlign w:val="top"/>
          </w:tcPr>
          <w:p>
            <w:pPr>
              <w:snapToGrid w:val="0"/>
              <w:spacing w:line="280" w:lineRule="exact"/>
              <w:jc w:val="both"/>
              <w:rPr>
                <w:rFonts w:hint="eastAsia"/>
                <w:b/>
                <w:sz w:val="21"/>
                <w:szCs w:val="21"/>
                <w:lang w:val="en-US" w:eastAsia="zh-CN"/>
              </w:rPr>
            </w:pPr>
            <w:r>
              <w:rPr>
                <w:rFonts w:hint="eastAsia"/>
                <w:b/>
                <w:sz w:val="21"/>
                <w:szCs w:val="21"/>
                <w:lang w:val="en-US" w:eastAsia="zh-CN"/>
              </w:rPr>
              <w:t>9:30-10:00</w:t>
            </w:r>
          </w:p>
          <w:p>
            <w:pPr>
              <w:snapToGrid w:val="0"/>
              <w:spacing w:line="280" w:lineRule="exact"/>
              <w:jc w:val="both"/>
              <w:rPr>
                <w:b/>
                <w:sz w:val="21"/>
                <w:szCs w:val="21"/>
              </w:rPr>
            </w:pPr>
          </w:p>
        </w:tc>
        <w:tc>
          <w:tcPr>
            <w:tcW w:w="6987"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077" w:type="dxa"/>
            <w:tcBorders>
              <w:right w:val="single" w:color="auto" w:sz="8" w:space="0"/>
            </w:tcBorders>
            <w:vAlign w:val="center"/>
          </w:tcPr>
          <w:p>
            <w:pPr>
              <w:snapToGrid w:val="0"/>
              <w:spacing w:line="280" w:lineRule="exact"/>
              <w:jc w:val="left"/>
              <w:rPr>
                <w:b/>
                <w:sz w:val="21"/>
                <w:szCs w:val="21"/>
              </w:rPr>
            </w:pPr>
            <w:r>
              <w:rPr>
                <w:rFonts w:hint="eastAsia"/>
                <w:b/>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88" w:type="dxa"/>
            <w:vMerge w:val="continue"/>
            <w:tcBorders>
              <w:left w:val="single" w:color="auto" w:sz="8" w:space="0"/>
            </w:tcBorders>
            <w:vAlign w:val="center"/>
          </w:tcPr>
          <w:p>
            <w:pPr>
              <w:snapToGrid w:val="0"/>
              <w:spacing w:line="280" w:lineRule="exact"/>
              <w:jc w:val="left"/>
              <w:rPr>
                <w:b/>
                <w:sz w:val="21"/>
                <w:szCs w:val="21"/>
              </w:rPr>
            </w:pPr>
          </w:p>
        </w:tc>
        <w:tc>
          <w:tcPr>
            <w:tcW w:w="1325" w:type="dxa"/>
            <w:vAlign w:val="top"/>
          </w:tcPr>
          <w:p>
            <w:pPr>
              <w:snapToGrid w:val="0"/>
              <w:spacing w:line="280" w:lineRule="exact"/>
              <w:jc w:val="both"/>
              <w:rPr>
                <w:rFonts w:hint="eastAsia"/>
                <w:b/>
                <w:sz w:val="21"/>
                <w:szCs w:val="21"/>
                <w:lang w:val="en-US" w:eastAsia="zh-CN"/>
              </w:rPr>
            </w:pPr>
            <w:r>
              <w:rPr>
                <w:rFonts w:hint="eastAsia"/>
                <w:b/>
                <w:sz w:val="21"/>
                <w:szCs w:val="21"/>
                <w:lang w:val="en-US" w:eastAsia="zh-CN"/>
              </w:rPr>
              <w:t>10:00-11:00</w:t>
            </w:r>
          </w:p>
          <w:p>
            <w:pPr>
              <w:snapToGrid w:val="0"/>
              <w:spacing w:line="280" w:lineRule="exact"/>
              <w:jc w:val="both"/>
              <w:rPr>
                <w:b/>
                <w:sz w:val="21"/>
                <w:szCs w:val="21"/>
              </w:rPr>
            </w:pPr>
          </w:p>
        </w:tc>
        <w:tc>
          <w:tcPr>
            <w:tcW w:w="6987"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077" w:type="dxa"/>
            <w:tcBorders>
              <w:right w:val="single" w:color="auto" w:sz="8" w:space="0"/>
            </w:tcBorders>
            <w:vAlign w:val="center"/>
          </w:tcPr>
          <w:p>
            <w:pPr>
              <w:snapToGrid w:val="0"/>
              <w:spacing w:line="280" w:lineRule="exact"/>
              <w:jc w:val="left"/>
              <w:rPr>
                <w:b/>
                <w:sz w:val="21"/>
                <w:szCs w:val="21"/>
              </w:rPr>
            </w:pPr>
            <w:r>
              <w:rPr>
                <w:rFonts w:hint="eastAsia"/>
                <w:b/>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8" w:type="dxa"/>
            <w:vMerge w:val="continue"/>
            <w:tcBorders>
              <w:left w:val="single" w:color="auto" w:sz="8" w:space="0"/>
            </w:tcBorders>
            <w:vAlign w:val="center"/>
          </w:tcPr>
          <w:p>
            <w:pPr>
              <w:snapToGrid w:val="0"/>
              <w:spacing w:line="280" w:lineRule="exact"/>
              <w:jc w:val="left"/>
              <w:rPr>
                <w:b/>
                <w:sz w:val="21"/>
                <w:szCs w:val="21"/>
              </w:rPr>
            </w:pPr>
          </w:p>
        </w:tc>
        <w:tc>
          <w:tcPr>
            <w:tcW w:w="1325" w:type="dxa"/>
            <w:vAlign w:val="top"/>
          </w:tcPr>
          <w:p>
            <w:pPr>
              <w:snapToGrid w:val="0"/>
              <w:spacing w:line="280" w:lineRule="exact"/>
              <w:jc w:val="both"/>
              <w:rPr>
                <w:rFonts w:hint="eastAsia"/>
                <w:b/>
                <w:sz w:val="21"/>
                <w:szCs w:val="21"/>
                <w:lang w:val="en-US" w:eastAsia="zh-CN"/>
              </w:rPr>
            </w:pPr>
            <w:r>
              <w:rPr>
                <w:rFonts w:hint="eastAsia"/>
                <w:b/>
                <w:sz w:val="21"/>
                <w:szCs w:val="21"/>
                <w:lang w:val="en-US" w:eastAsia="zh-CN"/>
              </w:rPr>
              <w:t>11:00-12:00</w:t>
            </w:r>
          </w:p>
          <w:p>
            <w:pPr>
              <w:snapToGrid w:val="0"/>
              <w:spacing w:line="280" w:lineRule="exact"/>
              <w:jc w:val="both"/>
              <w:rPr>
                <w:b/>
                <w:sz w:val="21"/>
                <w:szCs w:val="21"/>
              </w:rPr>
            </w:pPr>
          </w:p>
        </w:tc>
        <w:tc>
          <w:tcPr>
            <w:tcW w:w="6987"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077" w:type="dxa"/>
            <w:tcBorders>
              <w:right w:val="single" w:color="auto" w:sz="8" w:space="0"/>
            </w:tcBorders>
            <w:vAlign w:val="center"/>
          </w:tcPr>
          <w:p>
            <w:pPr>
              <w:snapToGrid w:val="0"/>
              <w:spacing w:line="280" w:lineRule="exact"/>
              <w:jc w:val="left"/>
              <w:rPr>
                <w:b/>
                <w:sz w:val="21"/>
                <w:szCs w:val="21"/>
              </w:rPr>
            </w:pPr>
            <w:r>
              <w:rPr>
                <w:rFonts w:hint="eastAsia"/>
                <w:b/>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88"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325" w:type="dxa"/>
            <w:vMerge w:val="restart"/>
            <w:shd w:val="clear" w:color="auto" w:fill="DAEEF3" w:themeFill="accent5" w:themeFillTint="33"/>
            <w:vAlign w:val="center"/>
          </w:tcPr>
          <w:p>
            <w:pPr>
              <w:snapToGrid w:val="0"/>
              <w:spacing w:line="280" w:lineRule="exact"/>
              <w:jc w:val="both"/>
              <w:rPr>
                <w:rFonts w:hint="eastAsia"/>
                <w:b/>
                <w:sz w:val="21"/>
                <w:szCs w:val="21"/>
                <w:lang w:val="en-US" w:eastAsia="zh-CN"/>
              </w:rPr>
            </w:pPr>
            <w:r>
              <w:rPr>
                <w:rFonts w:hint="eastAsia"/>
                <w:b/>
                <w:sz w:val="21"/>
                <w:szCs w:val="21"/>
                <w:lang w:val="en-US" w:eastAsia="zh-CN"/>
              </w:rPr>
              <w:t>12:30-14:30</w:t>
            </w:r>
          </w:p>
          <w:p>
            <w:pPr>
              <w:snapToGrid w:val="0"/>
              <w:spacing w:line="280" w:lineRule="exact"/>
              <w:jc w:val="left"/>
              <w:rPr>
                <w:rFonts w:hint="default" w:eastAsia="宋体"/>
                <w:b/>
                <w:sz w:val="21"/>
                <w:szCs w:val="21"/>
                <w:lang w:val="en-US" w:eastAsia="zh-CN"/>
              </w:rPr>
            </w:pPr>
          </w:p>
        </w:tc>
        <w:tc>
          <w:tcPr>
            <w:tcW w:w="6987" w:type="dxa"/>
            <w:vMerge w:val="restart"/>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EMS运行情况：</w:t>
            </w:r>
          </w:p>
          <w:p>
            <w:pPr>
              <w:rPr>
                <w:sz w:val="21"/>
                <w:szCs w:val="21"/>
              </w:rPr>
            </w:pPr>
            <w:r>
              <w:rPr>
                <w:rFonts w:hint="eastAsia"/>
                <w:sz w:val="21"/>
                <w:szCs w:val="21"/>
              </w:rPr>
              <w:t>- 查看地理位置图、污水管网图（适用时）</w:t>
            </w:r>
          </w:p>
          <w:p>
            <w:pPr>
              <w:rPr>
                <w:sz w:val="21"/>
                <w:szCs w:val="21"/>
              </w:rPr>
            </w:pPr>
            <w:r>
              <w:rPr>
                <w:sz w:val="21"/>
                <w:szCs w:val="21"/>
              </w:rPr>
              <w:t>-</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-查看合规性证明（9</w:t>
            </w:r>
            <w:r>
              <w:rPr>
                <w:sz w:val="21"/>
                <w:szCs w:val="21"/>
              </w:rPr>
              <w:t>8</w:t>
            </w:r>
            <w:r>
              <w:rPr>
                <w:rFonts w:hint="eastAsia"/>
                <w:sz w:val="21"/>
                <w:szCs w:val="21"/>
              </w:rPr>
              <w:t>年后新扩建的环评验收、环境监测报告）</w:t>
            </w:r>
          </w:p>
          <w:p>
            <w:pPr>
              <w:rPr>
                <w:sz w:val="21"/>
                <w:szCs w:val="21"/>
              </w:rPr>
            </w:pPr>
            <w:r>
              <w:rPr>
                <w:rFonts w:hint="eastAsia"/>
                <w:sz w:val="21"/>
                <w:szCs w:val="21"/>
              </w:rPr>
              <w:t>-了解危险化学品的种类及MSDS</w:t>
            </w:r>
          </w:p>
          <w:p>
            <w:pPr>
              <w:rPr>
                <w:sz w:val="21"/>
                <w:szCs w:val="21"/>
              </w:rPr>
            </w:pPr>
            <w:r>
              <w:rPr>
                <w:rFonts w:hint="eastAsia"/>
                <w:sz w:val="21"/>
                <w:szCs w:val="21"/>
              </w:rPr>
              <w:t>-了解危险废弃物的处置</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-了解</w:t>
            </w:r>
            <w:r>
              <w:rPr>
                <w:sz w:val="21"/>
                <w:szCs w:val="21"/>
              </w:rPr>
              <w:t>应急准备和响应情况</w:t>
            </w:r>
          </w:p>
          <w:p>
            <w:pPr>
              <w:rPr>
                <w:sz w:val="21"/>
                <w:szCs w:val="21"/>
              </w:rPr>
            </w:pPr>
            <w:r>
              <w:rPr>
                <w:rFonts w:hint="eastAsia"/>
                <w:sz w:val="21"/>
                <w:szCs w:val="21"/>
              </w:rPr>
              <w:t>-</w:t>
            </w:r>
            <w:r>
              <w:rPr>
                <w:sz w:val="21"/>
                <w:szCs w:val="21"/>
              </w:rPr>
              <w:t>查看《排污许可证》</w:t>
            </w:r>
          </w:p>
        </w:tc>
        <w:tc>
          <w:tcPr>
            <w:tcW w:w="1077" w:type="dxa"/>
            <w:vMerge w:val="restart"/>
            <w:tcBorders>
              <w:right w:val="single" w:color="auto" w:sz="8" w:space="0"/>
            </w:tcBorders>
            <w:shd w:val="clear" w:color="auto" w:fill="DAEEF3" w:themeFill="accent5" w:themeFillTint="33"/>
            <w:vAlign w:val="center"/>
          </w:tcPr>
          <w:p>
            <w:pPr>
              <w:snapToGrid w:val="0"/>
              <w:spacing w:line="280" w:lineRule="exact"/>
              <w:jc w:val="left"/>
              <w:rPr>
                <w:rFonts w:hint="default"/>
                <w:b/>
                <w:sz w:val="21"/>
                <w:szCs w:val="21"/>
                <w:lang w:val="en-US" w:eastAsia="zh-CN"/>
              </w:rPr>
            </w:pPr>
            <w:r>
              <w:rPr>
                <w:rFonts w:hint="eastAsia"/>
                <w:b/>
                <w:sz w:val="21"/>
                <w:szCs w:val="21"/>
                <w:lang w:val="en-US" w:eastAsia="zh-CN"/>
              </w:rPr>
              <w:t>杨珍全</w:t>
            </w: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4" w:hRule="atLeast"/>
        </w:trPr>
        <w:tc>
          <w:tcPr>
            <w:tcW w:w="988" w:type="dxa"/>
            <w:vMerge w:val="restart"/>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325" w:type="dxa"/>
            <w:vMerge w:val="continue"/>
            <w:shd w:val="clear" w:color="auto" w:fill="DAEEF3" w:themeFill="accent5" w:themeFillTint="33"/>
            <w:vAlign w:val="center"/>
          </w:tcPr>
          <w:p>
            <w:pPr>
              <w:snapToGrid w:val="0"/>
              <w:spacing w:line="280" w:lineRule="exact"/>
              <w:jc w:val="left"/>
              <w:rPr>
                <w:rFonts w:hint="eastAsia"/>
                <w:b/>
                <w:sz w:val="21"/>
                <w:szCs w:val="21"/>
                <w:lang w:val="en-US" w:eastAsia="zh-CN"/>
              </w:rPr>
            </w:pPr>
          </w:p>
        </w:tc>
        <w:tc>
          <w:tcPr>
            <w:tcW w:w="6987" w:type="dxa"/>
            <w:vMerge w:val="continue"/>
            <w:shd w:val="clear" w:color="auto" w:fill="DAEEF3" w:themeFill="accent5" w:themeFillTint="33"/>
            <w:vAlign w:val="center"/>
          </w:tcPr>
          <w:p>
            <w:pPr>
              <w:rPr>
                <w:rFonts w:hint="eastAsia"/>
                <w:sz w:val="21"/>
                <w:szCs w:val="21"/>
              </w:rPr>
            </w:pPr>
          </w:p>
        </w:tc>
        <w:tc>
          <w:tcPr>
            <w:tcW w:w="1077" w:type="dxa"/>
            <w:vMerge w:val="continue"/>
            <w:tcBorders>
              <w:right w:val="single" w:color="auto" w:sz="8" w:space="0"/>
            </w:tcBorders>
            <w:shd w:val="clear" w:color="auto" w:fill="DAEEF3" w:themeFill="accent5" w:themeFillTint="33"/>
            <w:vAlign w:val="center"/>
          </w:tcPr>
          <w:p>
            <w:pPr>
              <w:snapToGrid w:val="0"/>
              <w:spacing w:line="280" w:lineRule="exact"/>
              <w:jc w:val="left"/>
              <w:rPr>
                <w:rFonts w:hint="eastAsia"/>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988"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325" w:type="dxa"/>
            <w:vMerge w:val="continue"/>
            <w:shd w:val="clear" w:color="auto" w:fill="DAEEF3" w:themeFill="accent5" w:themeFillTint="33"/>
            <w:vAlign w:val="center"/>
          </w:tcPr>
          <w:p>
            <w:pPr>
              <w:snapToGrid w:val="0"/>
              <w:spacing w:line="280" w:lineRule="exact"/>
              <w:jc w:val="left"/>
              <w:rPr>
                <w:b/>
                <w:sz w:val="21"/>
                <w:szCs w:val="21"/>
              </w:rPr>
            </w:pPr>
          </w:p>
        </w:tc>
        <w:tc>
          <w:tcPr>
            <w:tcW w:w="6987"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观察基础设施（环保设备）运行完好</w:t>
            </w:r>
          </w:p>
          <w:p>
            <w:pPr>
              <w:widowControl/>
              <w:numPr>
                <w:ilvl w:val="0"/>
                <w:numId w:val="2"/>
              </w:numPr>
              <w:spacing w:before="40"/>
              <w:jc w:val="left"/>
              <w:rPr>
                <w:sz w:val="21"/>
                <w:szCs w:val="21"/>
              </w:rPr>
            </w:pPr>
            <w:r>
              <w:rPr>
                <w:rFonts w:hint="eastAsia"/>
                <w:sz w:val="21"/>
                <w:szCs w:val="21"/>
              </w:rPr>
              <w:t>观察环境相关的监视和测量设备的种类并了解检定/校准情况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观察总排口是否存在明显违规现象</w:t>
            </w:r>
          </w:p>
        </w:tc>
        <w:tc>
          <w:tcPr>
            <w:tcW w:w="1077" w:type="dxa"/>
            <w:tcBorders>
              <w:right w:val="single" w:color="auto" w:sz="8" w:space="0"/>
            </w:tcBorders>
            <w:shd w:val="clear" w:color="auto" w:fill="DAEEF3" w:themeFill="accent5" w:themeFillTint="33"/>
            <w:vAlign w:val="center"/>
          </w:tcPr>
          <w:p>
            <w:pPr>
              <w:snapToGrid w:val="0"/>
              <w:spacing w:line="280" w:lineRule="exact"/>
              <w:jc w:val="left"/>
              <w:rPr>
                <w:rFonts w:hint="default"/>
                <w:b/>
                <w:sz w:val="21"/>
                <w:szCs w:val="21"/>
                <w:lang w:val="en-US" w:eastAsia="zh-CN"/>
              </w:rPr>
            </w:pPr>
            <w:r>
              <w:rPr>
                <w:rFonts w:hint="eastAsia"/>
                <w:b/>
                <w:sz w:val="21"/>
                <w:szCs w:val="21"/>
                <w:lang w:val="en-US" w:eastAsia="zh-CN"/>
              </w:rPr>
              <w:t>杨珍全</w:t>
            </w:r>
          </w:p>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88"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25" w:type="dxa"/>
            <w:shd w:val="clear" w:color="auto" w:fill="E5DFEC" w:themeFill="accent4" w:themeFillTint="33"/>
            <w:vAlign w:val="top"/>
          </w:tcPr>
          <w:p>
            <w:pPr>
              <w:snapToGrid w:val="0"/>
              <w:spacing w:line="280" w:lineRule="exact"/>
              <w:jc w:val="both"/>
              <w:rPr>
                <w:rFonts w:hint="eastAsia"/>
                <w:b/>
                <w:sz w:val="21"/>
                <w:szCs w:val="21"/>
                <w:lang w:val="en-US" w:eastAsia="zh-CN"/>
              </w:rPr>
            </w:pPr>
            <w:r>
              <w:rPr>
                <w:rFonts w:hint="eastAsia"/>
                <w:b/>
                <w:sz w:val="21"/>
                <w:szCs w:val="21"/>
                <w:lang w:val="en-US" w:eastAsia="zh-CN"/>
              </w:rPr>
              <w:t>14:30-16:30</w:t>
            </w:r>
          </w:p>
          <w:p>
            <w:pPr>
              <w:snapToGrid w:val="0"/>
              <w:spacing w:line="280" w:lineRule="exact"/>
              <w:jc w:val="both"/>
              <w:rPr>
                <w:b/>
                <w:sz w:val="21"/>
                <w:szCs w:val="21"/>
              </w:rPr>
            </w:pPr>
          </w:p>
        </w:tc>
        <w:tc>
          <w:tcPr>
            <w:tcW w:w="6987" w:type="dxa"/>
            <w:shd w:val="clear" w:color="auto" w:fill="E5DFEC" w:themeFill="accent4" w:themeFillTint="33"/>
            <w:vAlign w:val="center"/>
          </w:tcPr>
          <w:p>
            <w:pPr>
              <w:rPr>
                <w:sz w:val="21"/>
                <w:szCs w:val="21"/>
                <w:shd w:val="pct10" w:color="auto" w:fill="FFFFFF"/>
              </w:rPr>
            </w:pPr>
            <w:r>
              <w:rPr>
                <w:rFonts w:hint="eastAsia"/>
                <w:sz w:val="21"/>
                <w:szCs w:val="21"/>
                <w:shd w:val="pct10" w:color="auto" w:fill="FFFFFF"/>
              </w:rPr>
              <w:t>OHSMS运行情况：</w:t>
            </w:r>
          </w:p>
          <w:p>
            <w:pPr>
              <w:rPr>
                <w:sz w:val="21"/>
                <w:szCs w:val="21"/>
              </w:rPr>
            </w:pPr>
            <w:r>
              <w:rPr>
                <w:rFonts w:hint="eastAsia"/>
                <w:sz w:val="21"/>
                <w:szCs w:val="21"/>
              </w:rPr>
              <w:t>-查看危险源的辨识和评价程序合理性</w:t>
            </w:r>
          </w:p>
          <w:p>
            <w:pPr>
              <w:rPr>
                <w:sz w:val="21"/>
                <w:szCs w:val="21"/>
              </w:rPr>
            </w:pPr>
            <w:r>
              <w:rPr>
                <w:rFonts w:hint="eastAsia"/>
                <w:sz w:val="21"/>
                <w:szCs w:val="21"/>
              </w:rPr>
              <w:t>-了解重要危险源的辨识和控制措施</w:t>
            </w:r>
          </w:p>
          <w:p>
            <w:pPr>
              <w:rPr>
                <w:sz w:val="21"/>
                <w:szCs w:val="21"/>
              </w:rPr>
            </w:pPr>
            <w:r>
              <w:rPr>
                <w:rFonts w:hint="eastAsia"/>
                <w:sz w:val="21"/>
                <w:szCs w:val="21"/>
              </w:rPr>
              <w:t>- 了解适用的职业健康安全法律和其他要求的获取、识别程序实施情况和合规性评价</w:t>
            </w:r>
          </w:p>
          <w:p>
            <w:pPr>
              <w:rPr>
                <w:sz w:val="21"/>
                <w:szCs w:val="21"/>
              </w:rPr>
            </w:pPr>
            <w:r>
              <w:rPr>
                <w:rFonts w:hint="eastAsia"/>
                <w:sz w:val="21"/>
                <w:szCs w:val="21"/>
              </w:rPr>
              <w:t>-查看合规性证明（安全评估、职业病评估、作业场所监测、）</w:t>
            </w:r>
          </w:p>
          <w:p>
            <w:pPr>
              <w:rPr>
                <w:sz w:val="21"/>
                <w:szCs w:val="21"/>
              </w:rPr>
            </w:pPr>
            <w:r>
              <w:rPr>
                <w:rFonts w:hint="eastAsia"/>
                <w:sz w:val="21"/>
                <w:szCs w:val="21"/>
              </w:rPr>
              <w:t>-了解三级安全教育的实施</w:t>
            </w:r>
          </w:p>
          <w:p>
            <w:pPr>
              <w:rPr>
                <w:sz w:val="21"/>
                <w:szCs w:val="21"/>
              </w:rPr>
            </w:pPr>
            <w:r>
              <w:rPr>
                <w:rFonts w:hint="eastAsia"/>
                <w:sz w:val="21"/>
                <w:szCs w:val="21"/>
              </w:rPr>
              <w:t>-了解职业病体检的情况</w:t>
            </w:r>
          </w:p>
          <w:p>
            <w:pPr>
              <w:rPr>
                <w:sz w:val="21"/>
                <w:szCs w:val="21"/>
              </w:rPr>
            </w:pPr>
            <w:r>
              <w:rPr>
                <w:rFonts w:hint="eastAsia"/>
                <w:sz w:val="21"/>
                <w:szCs w:val="21"/>
              </w:rPr>
              <w:t>-了解危险化学品的种类及MSDS</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 了解</w:t>
            </w:r>
            <w:r>
              <w:rPr>
                <w:sz w:val="21"/>
                <w:szCs w:val="21"/>
              </w:rPr>
              <w:t>应急准备和响应情况</w:t>
            </w:r>
          </w:p>
        </w:tc>
        <w:tc>
          <w:tcPr>
            <w:tcW w:w="1077" w:type="dxa"/>
            <w:tcBorders>
              <w:right w:val="single" w:color="auto" w:sz="8" w:space="0"/>
            </w:tcBorders>
            <w:shd w:val="clear" w:color="auto" w:fill="E5DFEC" w:themeFill="accent4" w:themeFillTint="33"/>
            <w:vAlign w:val="center"/>
          </w:tcPr>
          <w:p>
            <w:pPr>
              <w:snapToGrid w:val="0"/>
              <w:spacing w:line="280" w:lineRule="exact"/>
              <w:jc w:val="left"/>
              <w:rPr>
                <w:rFonts w:hint="default"/>
                <w:b/>
                <w:sz w:val="21"/>
                <w:szCs w:val="21"/>
                <w:lang w:val="en-US" w:eastAsia="zh-CN"/>
              </w:rPr>
            </w:pPr>
            <w:r>
              <w:rPr>
                <w:rFonts w:hint="eastAsia"/>
                <w:b/>
                <w:sz w:val="21"/>
                <w:szCs w:val="21"/>
                <w:lang w:val="en-US" w:eastAsia="zh-CN"/>
              </w:rPr>
              <w:t>杨珍全</w:t>
            </w:r>
          </w:p>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88"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25" w:type="dxa"/>
            <w:shd w:val="clear" w:color="auto" w:fill="E5DFEC" w:themeFill="accent4" w:themeFillTint="33"/>
            <w:vAlign w:val="center"/>
          </w:tcPr>
          <w:p>
            <w:pPr>
              <w:snapToGrid w:val="0"/>
              <w:spacing w:line="280" w:lineRule="exact"/>
              <w:jc w:val="left"/>
              <w:rPr>
                <w:b/>
                <w:sz w:val="21"/>
                <w:szCs w:val="21"/>
              </w:rPr>
            </w:pPr>
          </w:p>
        </w:tc>
        <w:tc>
          <w:tcPr>
            <w:tcW w:w="6987"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rPr>
                <w:rFonts w:hint="eastAsia"/>
                <w:sz w:val="21"/>
                <w:szCs w:val="21"/>
              </w:rPr>
            </w:pPr>
            <w:r>
              <w:rPr>
                <w:rFonts w:hint="eastAsia"/>
                <w:sz w:val="21"/>
                <w:szCs w:val="21"/>
              </w:rPr>
              <w:t>了解是否存在室外作业的情况</w:t>
            </w:r>
          </w:p>
        </w:tc>
        <w:tc>
          <w:tcPr>
            <w:tcW w:w="1077" w:type="dxa"/>
            <w:tcBorders>
              <w:right w:val="single" w:color="auto" w:sz="8" w:space="0"/>
            </w:tcBorders>
            <w:shd w:val="clear" w:color="auto" w:fill="E5DFEC" w:themeFill="accent4" w:themeFillTint="33"/>
            <w:vAlign w:val="center"/>
          </w:tcPr>
          <w:p>
            <w:pPr>
              <w:snapToGrid w:val="0"/>
              <w:spacing w:line="280" w:lineRule="exact"/>
              <w:jc w:val="left"/>
              <w:rPr>
                <w:rFonts w:hint="default"/>
                <w:b/>
                <w:sz w:val="21"/>
                <w:szCs w:val="21"/>
                <w:lang w:val="en-US" w:eastAsia="zh-CN"/>
              </w:rPr>
            </w:pPr>
            <w:r>
              <w:rPr>
                <w:rFonts w:hint="eastAsia"/>
                <w:b/>
                <w:sz w:val="21"/>
                <w:szCs w:val="21"/>
                <w:lang w:val="en-US" w:eastAsia="zh-CN"/>
              </w:rPr>
              <w:t>杨珍全</w:t>
            </w:r>
          </w:p>
          <w:p>
            <w:pPr>
              <w:snapToGrid w:val="0"/>
              <w:spacing w:line="280" w:lineRule="exact"/>
              <w:jc w:val="left"/>
              <w:rPr>
                <w:rFonts w:hint="eastAsia"/>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988"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25"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16:30-17:00</w:t>
            </w:r>
          </w:p>
        </w:tc>
        <w:tc>
          <w:tcPr>
            <w:tcW w:w="6987" w:type="dxa"/>
            <w:shd w:val="clear" w:color="auto" w:fill="auto"/>
            <w:vAlign w:val="center"/>
          </w:tcPr>
          <w:p>
            <w:pPr>
              <w:widowControl/>
              <w:spacing w:before="40"/>
              <w:jc w:val="left"/>
              <w:rPr>
                <w:sz w:val="21"/>
                <w:szCs w:val="21"/>
              </w:rPr>
            </w:pPr>
            <w:r>
              <w:rPr>
                <w:rFonts w:hint="eastAsia"/>
                <w:sz w:val="21"/>
                <w:szCs w:val="21"/>
              </w:rPr>
              <w:t>末次会议</w:t>
            </w:r>
          </w:p>
        </w:tc>
        <w:tc>
          <w:tcPr>
            <w:tcW w:w="1077" w:type="dxa"/>
            <w:tcBorders>
              <w:right w:val="single" w:color="auto" w:sz="8" w:space="0"/>
            </w:tcBorders>
            <w:shd w:val="clear" w:color="auto" w:fill="auto"/>
            <w:vAlign w:val="center"/>
          </w:tcPr>
          <w:p>
            <w:pPr>
              <w:snapToGrid w:val="0"/>
              <w:spacing w:line="280" w:lineRule="exact"/>
              <w:jc w:val="left"/>
              <w:rPr>
                <w:rFonts w:hint="default"/>
                <w:b/>
                <w:sz w:val="21"/>
                <w:szCs w:val="21"/>
                <w:lang w:val="en-US"/>
              </w:rPr>
            </w:pPr>
            <w:r>
              <w:rPr>
                <w:rFonts w:hint="eastAsia"/>
                <w:b/>
                <w:sz w:val="21"/>
                <w:szCs w:val="21"/>
                <w:lang w:val="en-US" w:eastAsia="zh-CN"/>
              </w:rPr>
              <w:t>杨珍全</w:t>
            </w:r>
            <w:bookmarkStart w:id="32" w:name="_GoBack"/>
            <w:bookmarkEnd w:id="32"/>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AD81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3173</Words>
  <Characters>3613</Characters>
  <Lines>26</Lines>
  <Paragraphs>7</Paragraphs>
  <TotalTime>5</TotalTime>
  <ScaleCrop>false</ScaleCrop>
  <LinksUpToDate>false</LinksUpToDate>
  <CharactersWithSpaces>3685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2023-03-07T11:49:57Z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