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0185-2023-QEO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四川众诚测绘科技有限公司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2023年03月05日 上午至2023年03月06日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华文宋体" w:hAnsi="华文宋体" w:eastAsia="华文宋体"/>
                <w:szCs w:val="21"/>
              </w:rPr>
              <w:t>四川省成都市锦江区庆云南街69号红星国际2栋405室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2022-N1EMS-2247783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Q:34.01.02</w:t>
            </w:r>
          </w:p>
          <w:p>
            <w:pPr>
              <w:spacing w:line="240" w:lineRule="exact"/>
              <w:jc w:val="center"/>
              <w:rPr>
                <w:b/>
                <w:color w:val="000000"/>
                <w:szCs w:val="21"/>
              </w:rPr>
            </w:pPr>
            <w:r>
              <w:rPr>
                <w:b/>
                <w:color w:val="000000"/>
                <w:szCs w:val="21"/>
              </w:rPr>
              <w:t>E:34.01.02</w:t>
            </w:r>
          </w:p>
          <w:p>
            <w:pPr>
              <w:spacing w:line="240" w:lineRule="exact"/>
              <w:jc w:val="center"/>
              <w:rPr>
                <w:b/>
                <w:color w:val="000000"/>
                <w:szCs w:val="21"/>
              </w:rPr>
            </w:pPr>
            <w:r>
              <w:rPr>
                <w:b/>
                <w:color w:val="000000"/>
                <w:szCs w:val="21"/>
              </w:rPr>
              <w:t>O:34.01.02B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四川众诚测绘科技有限公司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四川省成都市金牛区人民北路一段8号5栋23层12号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610021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四川省成都市锦江区庆云南街69号红星国际2栋405室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610021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陈梦婷</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18302833649</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田雪梅</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曾文良</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sz w:val="20"/>
              </w:rPr>
              <w:t>测绘航空摄影、摄影测量与遥感、工程测量、海洋测绘、界线与不动产测绘、地理信息系统工程、互联网地图服务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pStyle w:val="26"/>
              <w:rPr>
                <w:rFonts w:hint="eastAsia" w:ascii="Times New Roman" w:hAnsi="Times New Roman" w:eastAsia="宋体" w:cs="Times New Roman"/>
                <w:b/>
                <w:bCs w:val="0"/>
                <w:spacing w:val="0"/>
                <w:kern w:val="2"/>
                <w:sz w:val="20"/>
                <w:lang w:val="en-US" w:eastAsia="zh-CN" w:bidi="ar-SA"/>
              </w:rPr>
            </w:pPr>
            <w:r>
              <w:rPr>
                <w:rFonts w:hint="eastAsia" w:ascii="Times New Roman" w:hAnsi="Times New Roman" w:eastAsia="宋体" w:cs="Times New Roman"/>
                <w:b/>
                <w:bCs w:val="0"/>
                <w:spacing w:val="0"/>
                <w:kern w:val="2"/>
                <w:sz w:val="20"/>
                <w:lang w:val="en-US" w:eastAsia="zh-CN" w:bidi="ar-SA"/>
              </w:rPr>
              <w:t>服务流程：</w:t>
            </w:r>
          </w:p>
          <w:p>
            <w:pPr>
              <w:pStyle w:val="26"/>
              <w:rPr>
                <w:rFonts w:hint="eastAsia" w:ascii="Times New Roman" w:hAnsi="Times New Roman" w:eastAsia="宋体" w:cs="Times New Roman"/>
                <w:b/>
                <w:bCs w:val="0"/>
                <w:spacing w:val="0"/>
                <w:kern w:val="2"/>
                <w:sz w:val="20"/>
                <w:lang w:val="en-US" w:eastAsia="zh-CN" w:bidi="ar-SA"/>
              </w:rPr>
            </w:pPr>
            <w:r>
              <w:rPr>
                <w:rFonts w:hint="eastAsia" w:ascii="Times New Roman" w:hAnsi="Times New Roman" w:eastAsia="宋体" w:cs="Times New Roman"/>
                <w:b/>
                <w:bCs w:val="0"/>
                <w:spacing w:val="0"/>
                <w:kern w:val="2"/>
                <w:sz w:val="20"/>
                <w:lang w:val="en-US" w:eastAsia="zh-CN" w:bidi="ar-SA"/>
              </w:rPr>
              <w:t>合同签订→收集资料→制定方案和计划→控制点检核、编制、绘图→编制项目报告（文本、图件）→变更（需要时）→交付客户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Q：测绘航空摄影、摄影测量与遥感、工程测量、海洋测绘、界线与不动产测绘、地理信息系统工程、互联网地图服务</w:t>
            </w:r>
          </w:p>
        </w:tc>
        <w:tc>
          <w:tcPr>
            <w:tcW w:w="2006" w:type="dxa"/>
            <w:gridSpan w:val="3"/>
            <w:vAlign w:val="center"/>
          </w:tcPr>
          <w:p>
            <w:pPr>
              <w:spacing w:line="400" w:lineRule="exact"/>
              <w:rPr>
                <w:rFonts w:ascii="宋体" w:hAnsi="宋体"/>
                <w:b/>
                <w:color w:val="000000"/>
                <w:szCs w:val="21"/>
              </w:rPr>
            </w:pPr>
            <w:r>
              <w:t>Q：34.01.02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E：测绘航空摄影、摄影测量与遥感、工程测量、海洋测绘、界线与不动产测绘、地理信息系统工程、互联网地图服务所涉及场所的相关环境管理活动</w:t>
            </w:r>
          </w:p>
        </w:tc>
        <w:tc>
          <w:tcPr>
            <w:tcW w:w="2006" w:type="dxa"/>
            <w:gridSpan w:val="3"/>
            <w:vAlign w:val="center"/>
          </w:tcPr>
          <w:p>
            <w:pPr>
              <w:spacing w:line="400" w:lineRule="exact"/>
              <w:rPr>
                <w:rFonts w:ascii="宋体" w:hAnsi="宋体"/>
                <w:b/>
                <w:color w:val="000000"/>
                <w:szCs w:val="21"/>
              </w:rPr>
            </w:pPr>
            <w: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O：测绘航空摄影、摄影测量与遥感、工程测量、海洋测绘、界线与不动产测绘、地理信息系统工程、互联网地图服务所涉及场所的相关职业健康安全管理活动</w:t>
            </w:r>
          </w:p>
        </w:tc>
        <w:tc>
          <w:tcPr>
            <w:tcW w:w="2006" w:type="dxa"/>
            <w:gridSpan w:val="3"/>
            <w:vAlign w:val="center"/>
          </w:tcPr>
          <w:p>
            <w:pPr>
              <w:spacing w:line="400" w:lineRule="exact"/>
              <w:rPr>
                <w:rFonts w:ascii="宋体" w:hAnsi="宋体"/>
                <w:b/>
                <w:color w:val="000000"/>
                <w:szCs w:val="21"/>
              </w:rPr>
            </w:pPr>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四川省成都市金牛区人民北路一段8号5栋23层12号</w:t>
            </w:r>
          </w:p>
        </w:tc>
        <w:tc>
          <w:tcPr>
            <w:tcW w:w="2267" w:type="dxa"/>
          </w:tcPr>
          <w:p>
            <w:pPr>
              <w:spacing w:before="40" w:after="40"/>
              <w:rPr>
                <w:rFonts w:eastAsia="黑体"/>
                <w:szCs w:val="21"/>
                <w:lang w:val="de-DE" w:eastAsia="ja-JP"/>
              </w:rPr>
            </w:pPr>
            <w:r>
              <w:rPr>
                <w:rFonts w:hint="eastAsia" w:ascii="华文宋体" w:hAnsi="华文宋体" w:eastAsia="华文宋体"/>
                <w:szCs w:val="21"/>
              </w:rPr>
              <w:t>四川省成都市锦江区庆云南街69号红星国际2栋405室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21</w:t>
            </w:r>
          </w:p>
        </w:tc>
        <w:tc>
          <w:tcPr>
            <w:tcW w:w="2803" w:type="dxa"/>
            <w:vAlign w:val="center"/>
          </w:tcPr>
          <w:p>
            <w:pPr>
              <w:spacing w:line="400" w:lineRule="exact"/>
              <w:rPr>
                <w:rFonts w:eastAsia="黑体" w:cs="Arial"/>
                <w:sz w:val="21"/>
                <w:szCs w:val="21"/>
                <w:lang w:val="en-US" w:eastAsia="ja-JP"/>
              </w:rPr>
            </w:pPr>
            <w:r>
              <w:t>Q：测绘航空摄影、摄影测量与遥感、工程测量、海洋测绘、界线与不动产测绘、地理信息系统工程、互联网地图服务</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四川省成都市金牛区人民北路一段8号5栋23层12号</w:t>
            </w:r>
          </w:p>
        </w:tc>
        <w:tc>
          <w:tcPr>
            <w:tcW w:w="2267" w:type="dxa"/>
            <w:vAlign w:val="center"/>
          </w:tcPr>
          <w:p>
            <w:pPr>
              <w:spacing w:before="40" w:after="40"/>
              <w:rPr>
                <w:rFonts w:eastAsia="黑体"/>
                <w:szCs w:val="21"/>
                <w:lang w:eastAsia="ja-JP"/>
              </w:rPr>
            </w:pPr>
            <w:r>
              <w:rPr>
                <w:rFonts w:hint="eastAsia" w:ascii="华文宋体" w:hAnsi="华文宋体" w:eastAsia="华文宋体"/>
                <w:szCs w:val="21"/>
              </w:rPr>
              <w:t>四川省成都市锦江区庆云南街69号红星国际2栋405室</w:t>
            </w:r>
          </w:p>
        </w:tc>
        <w:tc>
          <w:tcPr>
            <w:tcW w:w="571" w:type="dxa"/>
            <w:vAlign w:val="center"/>
          </w:tcPr>
          <w:p>
            <w:pPr>
              <w:spacing w:before="40" w:after="40"/>
              <w:rPr>
                <w:rFonts w:eastAsia="黑体"/>
                <w:szCs w:val="21"/>
                <w:lang w:eastAsia="ja-JP"/>
              </w:rPr>
            </w:pPr>
            <w:r>
              <w:rPr>
                <w:rFonts w:hint="eastAsia" w:eastAsia="黑体"/>
                <w:szCs w:val="21"/>
                <w:lang w:val="en-US" w:eastAsia="zh-CN"/>
              </w:rPr>
              <w:t>21</w:t>
            </w:r>
          </w:p>
        </w:tc>
        <w:tc>
          <w:tcPr>
            <w:tcW w:w="2803" w:type="dxa"/>
            <w:vAlign w:val="center"/>
          </w:tcPr>
          <w:p>
            <w:pPr>
              <w:spacing w:line="400" w:lineRule="exact"/>
              <w:rPr>
                <w:rFonts w:eastAsia="黑体"/>
                <w:szCs w:val="21"/>
                <w:lang w:eastAsia="ja-JP"/>
              </w:rPr>
            </w:pPr>
            <w:r>
              <w:t>E：测绘航空摄影、摄影测量与遥感、工程测量、海洋测绘、界线与不动产测绘、地理信息系统工程、互联网地图服务所涉及场所的相关环境管理活动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四川省成都市金牛区人民北路一段8号5栋23层12号</w:t>
            </w:r>
          </w:p>
        </w:tc>
        <w:tc>
          <w:tcPr>
            <w:tcW w:w="2267" w:type="dxa"/>
            <w:vAlign w:val="center"/>
          </w:tcPr>
          <w:p>
            <w:pPr>
              <w:spacing w:before="40" w:after="40"/>
              <w:rPr>
                <w:rFonts w:eastAsia="黑体"/>
                <w:szCs w:val="21"/>
                <w:lang w:eastAsia="ja-JP"/>
              </w:rPr>
            </w:pPr>
            <w:r>
              <w:rPr>
                <w:rFonts w:hint="eastAsia" w:ascii="华文宋体" w:hAnsi="华文宋体" w:eastAsia="华文宋体"/>
                <w:szCs w:val="21"/>
              </w:rPr>
              <w:t>四川省成都市锦江区庆云南街69号红星国际2栋405室</w:t>
            </w:r>
          </w:p>
        </w:tc>
        <w:tc>
          <w:tcPr>
            <w:tcW w:w="571" w:type="dxa"/>
            <w:vAlign w:val="center"/>
          </w:tcPr>
          <w:p>
            <w:pPr>
              <w:spacing w:before="40" w:after="40"/>
              <w:rPr>
                <w:rFonts w:eastAsia="黑体"/>
                <w:szCs w:val="21"/>
                <w:lang w:eastAsia="ja-JP"/>
              </w:rPr>
            </w:pPr>
            <w:r>
              <w:rPr>
                <w:rFonts w:hint="eastAsia" w:eastAsia="黑体"/>
                <w:szCs w:val="21"/>
                <w:lang w:val="en-US" w:eastAsia="zh-CN"/>
              </w:rPr>
              <w:t>21</w:t>
            </w:r>
          </w:p>
        </w:tc>
        <w:tc>
          <w:tcPr>
            <w:tcW w:w="2803" w:type="dxa"/>
            <w:vAlign w:val="center"/>
          </w:tcPr>
          <w:p>
            <w:pPr>
              <w:spacing w:line="400" w:lineRule="exact"/>
              <w:rPr>
                <w:rFonts w:eastAsia="黑体"/>
                <w:szCs w:val="21"/>
                <w:lang w:eastAsia="ja-JP"/>
              </w:rPr>
            </w:pPr>
            <w:r>
              <w:t>O：测绘航空摄影、摄影测量与遥感、工程测量、海洋测绘、界线与不动产测绘、地理信息系统工程、互联网地图服务所涉及场所的相关职业健康安全管理活动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lang w:val="en-GB" w:eastAsia="zh-CN"/>
              </w:rPr>
            </w:pPr>
            <w:bookmarkStart w:id="34" w:name="_GoBack" w:colFirst="0" w:colLast="1"/>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auto"/>
                <w:sz w:val="21"/>
                <w:szCs w:val="21"/>
                <w:lang w:val="en-GB" w:eastAsia="zh-CN"/>
              </w:rPr>
            </w:pPr>
            <w:r>
              <w:rPr>
                <w:rFonts w:hint="eastAsia" w:ascii="Wingdings" w:hAnsi="Wingdings" w:eastAsia="宋体"/>
                <w:color w:val="auto"/>
                <w:sz w:val="21"/>
                <w:szCs w:val="21"/>
                <w:lang w:eastAsia="zh-CN"/>
              </w:rPr>
              <w:t>☑</w:t>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t>□</w:t>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bookmarkEnd w:id="34"/>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11</w:t>
            </w:r>
            <w:r>
              <w:rPr>
                <w:rFonts w:hint="eastAsia" w:ascii="宋体" w:hAnsi="宋体"/>
                <w:b/>
                <w:color w:val="auto"/>
                <w:szCs w:val="21"/>
                <w:u w:val="single"/>
              </w:rPr>
              <w:t>月</w:t>
            </w:r>
            <w:r>
              <w:rPr>
                <w:rFonts w:hint="eastAsia" w:ascii="宋体" w:hAnsi="宋体"/>
                <w:b/>
                <w:color w:val="auto"/>
                <w:szCs w:val="21"/>
                <w:u w:val="single"/>
                <w:lang w:val="en-US" w:eastAsia="zh-CN"/>
              </w:rPr>
              <w:t>1</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w:t>
            </w:r>
            <w:r>
              <w:rPr>
                <w:rFonts w:hint="eastAsia" w:ascii="宋体" w:hAnsi="宋体"/>
                <w:b/>
                <w:color w:val="000000"/>
                <w:szCs w:val="21"/>
              </w:rPr>
              <w:t>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zCs w:val="21"/>
                <w:lang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tcPr>
          <w:p>
            <w:pPr>
              <w:rPr>
                <w:rFonts w:ascii="宋体"/>
                <w:color w:val="auto"/>
                <w:szCs w:val="21"/>
              </w:rPr>
            </w:pPr>
            <w:r>
              <w:rPr>
                <w:rFonts w:hint="eastAsia" w:ascii="宋体"/>
                <w:color w:val="auto"/>
                <w:szCs w:val="21"/>
                <w:lang w:eastAsia="zh-CN"/>
              </w:rPr>
              <w:t>☑</w:t>
            </w:r>
            <w:r>
              <w:rPr>
                <w:rFonts w:hint="eastAsia" w:ascii="宋体"/>
                <w:color w:val="auto"/>
                <w:szCs w:val="21"/>
              </w:rPr>
              <w:t>是</w:t>
            </w:r>
          </w:p>
        </w:tc>
        <w:tc>
          <w:tcPr>
            <w:tcW w:w="1637" w:type="dxa"/>
            <w:shd w:val="clear" w:color="auto" w:fill="DBEEF3" w:themeFill="accent5" w:themeFillTint="32"/>
          </w:tcPr>
          <w:p>
            <w:pPr>
              <w:rPr>
                <w:rFonts w:ascii="宋体"/>
                <w:color w:val="auto"/>
                <w:szCs w:val="21"/>
              </w:rPr>
            </w:pPr>
            <w:r>
              <w:rPr>
                <w:rFonts w:hint="eastAsia" w:ascii="宋体"/>
                <w:color w:val="auto"/>
                <w:szCs w:val="21"/>
                <w:lang w:eastAsia="zh-CN"/>
              </w:rPr>
              <w:t>□</w:t>
            </w:r>
            <w:r>
              <w:rPr>
                <w:rFonts w:hint="eastAsia" w:asci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rPr>
            </w:pPr>
            <w:r>
              <w:rPr>
                <w:rFonts w:hint="eastAsia" w:ascii="宋体" w:hAnsi="宋体"/>
                <w:b/>
                <w:color w:val="auto"/>
                <w:sz w:val="20"/>
                <w:szCs w:val="20"/>
              </w:rPr>
              <w:t>质量管理体系宜重点关注</w:t>
            </w:r>
          </w:p>
          <w:p>
            <w:pPr>
              <w:spacing w:line="360" w:lineRule="auto"/>
              <w:rPr>
                <w:rFonts w:ascii="宋体" w:hAnsi="宋体"/>
                <w:b/>
                <w:color w:val="auto"/>
                <w:sz w:val="20"/>
                <w:szCs w:val="20"/>
              </w:rPr>
            </w:pPr>
          </w:p>
        </w:tc>
        <w:tc>
          <w:tcPr>
            <w:tcW w:w="6891" w:type="dxa"/>
            <w:gridSpan w:val="3"/>
            <w:shd w:val="clear" w:color="auto" w:fill="DBEEF3" w:themeFill="accent5" w:themeFillTint="32"/>
          </w:tcPr>
          <w:p>
            <w:pPr>
              <w:spacing w:line="360" w:lineRule="auto"/>
              <w:rPr>
                <w:rFonts w:ascii="宋体"/>
                <w:b/>
                <w:color w:val="auto"/>
                <w:sz w:val="20"/>
                <w:szCs w:val="20"/>
              </w:rPr>
            </w:pPr>
            <w:r>
              <w:rPr>
                <w:rFonts w:hint="eastAsia" w:ascii="宋体" w:hAnsi="宋体"/>
                <w:color w:val="auto"/>
                <w:spacing w:val="-10"/>
                <w:szCs w:val="21"/>
                <w:lang w:eastAsia="zh-CN"/>
              </w:rPr>
              <w:t>□</w:t>
            </w:r>
            <w:r>
              <w:rPr>
                <w:rFonts w:hint="eastAsia" w:ascii="宋体" w:hAnsi="宋体"/>
                <w:b/>
                <w:color w:val="auto"/>
                <w:sz w:val="20"/>
                <w:szCs w:val="20"/>
              </w:rPr>
              <w:t>设计、</w:t>
            </w:r>
            <w:r>
              <w:rPr>
                <w:rFonts w:hint="eastAsia" w:ascii="宋体" w:hAnsi="宋体"/>
                <w:color w:val="auto"/>
                <w:spacing w:val="-10"/>
                <w:szCs w:val="21"/>
                <w:lang w:eastAsia="zh-CN"/>
              </w:rPr>
              <w:t>☑</w:t>
            </w:r>
            <w:r>
              <w:rPr>
                <w:rFonts w:hint="eastAsia" w:ascii="宋体" w:hAnsi="宋体"/>
                <w:b/>
                <w:color w:val="auto"/>
                <w:sz w:val="20"/>
                <w:szCs w:val="20"/>
              </w:rPr>
              <w:t>关键生产</w:t>
            </w:r>
            <w:r>
              <w:rPr>
                <w:rFonts w:ascii="宋体" w:hAnsi="宋体"/>
                <w:b/>
                <w:color w:val="auto"/>
                <w:sz w:val="20"/>
                <w:szCs w:val="20"/>
              </w:rPr>
              <w:t>/</w:t>
            </w:r>
            <w:r>
              <w:rPr>
                <w:rFonts w:hint="eastAsia" w:ascii="宋体" w:hAnsi="宋体"/>
                <w:b/>
                <w:color w:val="auto"/>
                <w:sz w:val="20"/>
                <w:szCs w:val="20"/>
              </w:rPr>
              <w:t>服务、</w:t>
            </w:r>
            <w:r>
              <w:rPr>
                <w:rFonts w:hint="eastAsia" w:ascii="宋体" w:hAnsi="宋体"/>
                <w:color w:val="auto"/>
                <w:spacing w:val="-10"/>
                <w:szCs w:val="21"/>
              </w:rPr>
              <w:t>□</w:t>
            </w:r>
            <w:r>
              <w:rPr>
                <w:rFonts w:hint="eastAsia" w:ascii="宋体" w:hAnsi="宋体"/>
                <w:b/>
                <w:color w:val="auto"/>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auto"/>
                <w:spacing w:val="-10"/>
                <w:szCs w:val="21"/>
              </w:rPr>
              <w:t>□</w:t>
            </w:r>
            <w:r>
              <w:rPr>
                <w:rFonts w:hint="eastAsia" w:ascii="宋体" w:hAnsi="宋体"/>
                <w:b/>
                <w:color w:val="auto"/>
                <w:sz w:val="20"/>
                <w:szCs w:val="20"/>
              </w:rPr>
              <w:t>生产</w:t>
            </w:r>
            <w:r>
              <w:rPr>
                <w:rFonts w:ascii="宋体" w:hAnsi="宋体"/>
                <w:b/>
                <w:color w:val="auto"/>
                <w:sz w:val="20"/>
                <w:szCs w:val="20"/>
              </w:rPr>
              <w:t>/</w:t>
            </w:r>
            <w:r>
              <w:rPr>
                <w:rFonts w:hint="eastAsia" w:ascii="宋体" w:hAnsi="宋体"/>
                <w:b/>
                <w:color w:val="auto"/>
                <w:sz w:val="20"/>
                <w:szCs w:val="20"/>
              </w:rPr>
              <w:t>服务提供场所、</w:t>
            </w:r>
            <w:r>
              <w:rPr>
                <w:rFonts w:hint="eastAsia" w:ascii="宋体" w:hAnsi="宋体"/>
                <w:color w:val="auto"/>
                <w:spacing w:val="-10"/>
                <w:szCs w:val="21"/>
              </w:rPr>
              <w:t>□</w:t>
            </w:r>
            <w:r>
              <w:rPr>
                <w:rFonts w:hint="eastAsia" w:ascii="宋体" w:hAnsi="宋体"/>
                <w:b/>
                <w:color w:val="auto"/>
                <w:sz w:val="20"/>
                <w:szCs w:val="20"/>
              </w:rPr>
              <w:t>仓储</w:t>
            </w:r>
          </w:p>
          <w:p>
            <w:pPr>
              <w:spacing w:line="360" w:lineRule="auto"/>
              <w:rPr>
                <w:rFonts w:ascii="宋体" w:hAnsi="宋体"/>
                <w:b/>
                <w:color w:val="auto"/>
                <w:sz w:val="20"/>
                <w:szCs w:val="20"/>
              </w:rPr>
            </w:pPr>
            <w:r>
              <w:rPr>
                <w:rFonts w:hint="eastAsia" w:ascii="宋体" w:hAnsi="宋体"/>
                <w:b/>
                <w:color w:val="auto"/>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rPr>
            </w:pPr>
            <w:r>
              <w:rPr>
                <w:rFonts w:hint="eastAsia"/>
                <w:lang w:val="en-US" w:eastAsia="zh-CN"/>
              </w:rPr>
              <w:t>项目名称：</w:t>
            </w:r>
            <w:r>
              <w:rPr>
                <w:rFonts w:hint="eastAsia"/>
              </w:rPr>
              <w:t>阆中机场场外配套道路及排水工程项目变形监测</w:t>
            </w:r>
          </w:p>
          <w:p>
            <w:pPr>
              <w:pStyle w:val="2"/>
              <w:rPr>
                <w:rFonts w:hint="eastAsia" w:ascii="宋体" w:hAnsi="宋体"/>
                <w:color w:val="000000"/>
                <w:szCs w:val="21"/>
              </w:rPr>
            </w:pPr>
            <w:r>
              <w:rPr>
                <w:rFonts w:hint="eastAsia" w:ascii="宋体" w:hAnsi="宋体"/>
                <w:color w:val="000000"/>
                <w:szCs w:val="21"/>
                <w:lang w:val="en-US" w:eastAsia="zh-CN"/>
              </w:rPr>
              <w:t>地址：</w:t>
            </w:r>
            <w:r>
              <w:rPr>
                <w:rFonts w:hint="eastAsia" w:ascii="宋体" w:hAnsi="宋体"/>
                <w:color w:val="000000"/>
                <w:szCs w:val="21"/>
              </w:rPr>
              <w:t>阆中市江东新城片区</w:t>
            </w:r>
          </w:p>
          <w:p>
            <w:pPr>
              <w:pStyle w:val="2"/>
              <w:rPr>
                <w:rFonts w:hint="default" w:ascii="宋体" w:hAnsi="宋体" w:eastAsia="宋体"/>
                <w:color w:val="000000"/>
                <w:szCs w:val="21"/>
                <w:lang w:val="en-US" w:eastAsia="zh-CN"/>
              </w:rPr>
            </w:pPr>
            <w:r>
              <w:rPr>
                <w:rFonts w:hint="eastAsia" w:ascii="宋体" w:hAnsi="宋体"/>
                <w:color w:val="000000"/>
                <w:szCs w:val="21"/>
              </w:rPr>
              <w:t>交通及总部至分场所需</w:t>
            </w:r>
            <w:r>
              <w:rPr>
                <w:rFonts w:hint="eastAsia" w:ascii="宋体" w:hAnsi="宋体"/>
                <w:color w:val="000000"/>
                <w:szCs w:val="21"/>
                <w:lang w:val="en-US" w:eastAsia="zh-CN"/>
              </w:rPr>
              <w:t>往返</w:t>
            </w:r>
            <w:r>
              <w:rPr>
                <w:rFonts w:hint="eastAsia" w:ascii="宋体" w:hAnsi="宋体"/>
                <w:color w:val="000000"/>
                <w:szCs w:val="21"/>
              </w:rPr>
              <w:t>时间</w:t>
            </w:r>
            <w:r>
              <w:rPr>
                <w:rFonts w:hint="eastAsia" w:ascii="宋体" w:hAnsi="宋体"/>
                <w:color w:val="000000"/>
                <w:szCs w:val="21"/>
                <w:lang w:eastAsia="zh-CN"/>
              </w:rPr>
              <w:t>：</w:t>
            </w:r>
            <w:r>
              <w:rPr>
                <w:rFonts w:hint="eastAsia" w:ascii="宋体" w:hAnsi="宋体"/>
                <w:color w:val="000000"/>
                <w:szCs w:val="21"/>
              </w:rPr>
              <w:t>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3</w:t>
            </w:r>
            <w:r>
              <w:rPr>
                <w:rFonts w:hint="eastAsia" w:ascii="宋体"/>
                <w:b/>
                <w:color w:val="000000"/>
                <w:szCs w:val="21"/>
              </w:rPr>
              <w:t>-</w:t>
            </w:r>
            <w:bookmarkEnd w:id="33"/>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auto"/>
                <w:spacing w:val="-10"/>
                <w:szCs w:val="21"/>
                <w:lang w:eastAsia="zh-CN"/>
              </w:rPr>
              <w:t>☑</w:t>
            </w:r>
            <w:r>
              <w:rPr>
                <w:rFonts w:hint="eastAsia" w:ascii="宋体" w:hAnsi="宋体"/>
                <w:b/>
                <w:color w:val="auto"/>
                <w:spacing w:val="-10"/>
                <w:szCs w:val="21"/>
              </w:rPr>
              <w:t>未发现任何问题</w:t>
            </w:r>
            <w:r>
              <w:rPr>
                <w:rFonts w:ascii="宋体" w:hAnsi="宋体"/>
                <w:b/>
                <w:color w:val="auto"/>
                <w:szCs w:val="21"/>
              </w:rPr>
              <w:t xml:space="preserve">, </w:t>
            </w:r>
            <w:r>
              <w:rPr>
                <w:rFonts w:hint="eastAsia" w:ascii="宋体" w:hAnsi="宋体"/>
                <w:b/>
                <w:color w:val="auto"/>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auto"/>
                <w:spacing w:val="-10"/>
                <w:szCs w:val="21"/>
                <w:lang w:val="de-DE" w:eastAsia="zh-CN"/>
              </w:rPr>
              <w:t>□</w:t>
            </w:r>
            <w:r>
              <w:rPr>
                <w:rFonts w:hint="eastAsia" w:ascii="宋体" w:hAnsi="宋体"/>
                <w:b/>
                <w:color w:val="auto"/>
                <w:spacing w:val="-10"/>
                <w:szCs w:val="21"/>
              </w:rPr>
              <w:t>有少量问题</w:t>
            </w:r>
            <w:r>
              <w:rPr>
                <w:rFonts w:hint="eastAsia" w:ascii="宋体" w:hAnsi="宋体"/>
                <w:b/>
                <w:color w:val="auto"/>
                <w:szCs w:val="21"/>
              </w:rPr>
              <w:t>存在</w:t>
            </w:r>
            <w:r>
              <w:rPr>
                <w:rFonts w:ascii="宋体" w:hAnsi="宋体"/>
                <w:b/>
                <w:color w:val="auto"/>
                <w:szCs w:val="21"/>
              </w:rPr>
              <w:t xml:space="preserve">, </w:t>
            </w:r>
            <w:r>
              <w:rPr>
                <w:rFonts w:hint="eastAsia" w:ascii="宋体" w:hAnsi="宋体"/>
                <w:b/>
                <w:color w:val="auto"/>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宋明珠</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auto"/>
          <w:szCs w:val="21"/>
        </w:rPr>
      </w:pPr>
      <w:r>
        <w:rPr>
          <w:rFonts w:hint="eastAsia" w:ascii="宋体" w:hAnsi="宋体"/>
          <w:b/>
          <w:color w:val="auto"/>
          <w:szCs w:val="21"/>
        </w:rPr>
        <w:t>日期</w:t>
      </w:r>
      <w:r>
        <w:rPr>
          <w:rFonts w:ascii="宋体" w:hAnsi="宋体"/>
          <w:b/>
          <w:color w:val="auto"/>
          <w:szCs w:val="21"/>
        </w:rPr>
        <w:t>:</w:t>
      </w:r>
      <w:r>
        <w:rPr>
          <w:rFonts w:hint="eastAsia"/>
          <w:b/>
          <w:color w:val="auto"/>
          <w:szCs w:val="21"/>
          <w:lang w:val="en-US" w:eastAsia="zh-CN"/>
        </w:rPr>
        <w:t>2023</w:t>
      </w:r>
      <w:r>
        <w:rPr>
          <w:rFonts w:hint="eastAsia"/>
          <w:b/>
          <w:color w:val="auto"/>
          <w:szCs w:val="21"/>
        </w:rPr>
        <w:t>年</w:t>
      </w:r>
      <w:r>
        <w:rPr>
          <w:rFonts w:hint="eastAsia"/>
          <w:b/>
          <w:color w:val="auto"/>
          <w:szCs w:val="21"/>
          <w:lang w:val="en-US" w:eastAsia="zh-CN"/>
        </w:rPr>
        <w:t>3</w:t>
      </w:r>
      <w:r>
        <w:rPr>
          <w:rFonts w:hint="eastAsia"/>
          <w:b/>
          <w:color w:val="auto"/>
          <w:szCs w:val="21"/>
        </w:rPr>
        <w:t>月</w:t>
      </w:r>
      <w:r>
        <w:rPr>
          <w:rFonts w:hint="eastAsia"/>
          <w:b/>
          <w:color w:val="auto"/>
          <w:szCs w:val="21"/>
          <w:lang w:val="en-US" w:eastAsia="zh-CN"/>
        </w:rPr>
        <w:t>6</w:t>
      </w:r>
      <w:r>
        <w:rPr>
          <w:rFonts w:hint="eastAsia"/>
          <w:b/>
          <w:color w:val="auto"/>
          <w:szCs w:val="21"/>
        </w:rPr>
        <w:t>日</w:t>
      </w:r>
      <w:r>
        <w:rPr>
          <w:rFonts w:ascii="宋体" w:hAnsi="宋体"/>
          <w:b/>
          <w:color w:val="auto"/>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sz w:val="21"/>
          <w:szCs w:val="21"/>
          <w:lang w:eastAsia="zh-CN"/>
        </w:rPr>
        <w:t>成都锋汇聚成科技有限公司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899"/>
        <w:gridCol w:w="1300"/>
        <w:gridCol w:w="125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68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0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59"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1</w:t>
            </w:r>
          </w:p>
        </w:tc>
        <w:tc>
          <w:tcPr>
            <w:tcW w:w="5687" w:type="dxa"/>
            <w:gridSpan w:val="2"/>
            <w:vAlign w:val="center"/>
          </w:tcPr>
          <w:p>
            <w:pPr>
              <w:spacing w:before="120" w:line="240" w:lineRule="auto"/>
              <w:rPr>
                <w:rFonts w:hint="default" w:eastAsia="宋体"/>
                <w:color w:val="000000"/>
                <w:sz w:val="21"/>
                <w:szCs w:val="21"/>
                <w:lang w:val="en-US" w:eastAsia="zh-CN"/>
              </w:rPr>
            </w:pPr>
            <w:r>
              <w:rPr>
                <w:rFonts w:hint="eastAsia"/>
                <w:color w:val="000000"/>
                <w:sz w:val="21"/>
                <w:szCs w:val="21"/>
                <w:lang w:val="en-US" w:eastAsia="zh-CN"/>
              </w:rPr>
              <w:t>无</w:t>
            </w:r>
          </w:p>
        </w:tc>
        <w:tc>
          <w:tcPr>
            <w:tcW w:w="1300" w:type="dxa"/>
            <w:vAlign w:val="center"/>
          </w:tcPr>
          <w:p>
            <w:pPr>
              <w:pStyle w:val="7"/>
              <w:pBdr>
                <w:bottom w:val="none" w:color="auto" w:sz="0" w:space="0"/>
              </w:pBdr>
              <w:ind w:right="600"/>
              <w:jc w:val="both"/>
              <w:rPr>
                <w:rFonts w:hint="default" w:ascii="Times New Roman" w:hAnsi="Times New Roman" w:eastAsia="宋体" w:cs="Times New Roman"/>
                <w:b/>
                <w:bCs/>
                <w:color w:val="000000"/>
                <w:kern w:val="2"/>
                <w:sz w:val="21"/>
                <w:szCs w:val="21"/>
                <w:lang w:val="en-US" w:eastAsia="zh-CN" w:bidi="ar-SA"/>
              </w:rPr>
            </w:pPr>
          </w:p>
        </w:tc>
        <w:tc>
          <w:tcPr>
            <w:tcW w:w="1259" w:type="dxa"/>
            <w:vAlign w:val="center"/>
          </w:tcPr>
          <w:p>
            <w:pPr>
              <w:pStyle w:val="7"/>
              <w:pBdr>
                <w:bottom w:val="none" w:color="auto" w:sz="0" w:space="0"/>
              </w:pBdr>
              <w:ind w:right="600"/>
              <w:jc w:val="both"/>
              <w:rPr>
                <w:rFonts w:hint="eastAsia" w:ascii="Times New Roman" w:hAnsi="Times New Roman" w:eastAsia="宋体" w:cs="Times New Roman"/>
                <w:b/>
                <w:bCs/>
                <w:color w:val="000000"/>
                <w:kern w:val="2"/>
                <w:sz w:val="21"/>
                <w:szCs w:val="21"/>
                <w:lang w:val="en-US" w:eastAsia="zh-CN" w:bidi="ar-SA"/>
              </w:rPr>
            </w:pPr>
          </w:p>
        </w:tc>
        <w:tc>
          <w:tcPr>
            <w:tcW w:w="934" w:type="dxa"/>
            <w:vAlign w:val="center"/>
          </w:tcPr>
          <w:p>
            <w:pPr>
              <w:pStyle w:val="7"/>
              <w:pBdr>
                <w:bottom w:val="none" w:color="auto" w:sz="0" w:space="0"/>
              </w:pBdr>
              <w:ind w:right="600"/>
              <w:jc w:val="both"/>
              <w:rPr>
                <w:rFonts w:hint="eastAsia" w:ascii="方正仿宋简体" w:hAnsi="Times New Roman" w:eastAsia="方正仿宋简体" w:cs="Times New Roman"/>
                <w:b/>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8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00" w:type="dxa"/>
            <w:vAlign w:val="center"/>
          </w:tcPr>
          <w:p>
            <w:pPr>
              <w:pStyle w:val="7"/>
              <w:pBdr>
                <w:bottom w:val="none" w:color="auto" w:sz="0" w:space="0"/>
              </w:pBdr>
              <w:ind w:right="600"/>
              <w:jc w:val="both"/>
              <w:rPr>
                <w:color w:val="000000"/>
                <w:sz w:val="21"/>
                <w:szCs w:val="21"/>
              </w:rPr>
            </w:pPr>
          </w:p>
        </w:tc>
        <w:tc>
          <w:tcPr>
            <w:tcW w:w="125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8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00" w:type="dxa"/>
            <w:vAlign w:val="center"/>
          </w:tcPr>
          <w:p>
            <w:pPr>
              <w:pStyle w:val="7"/>
              <w:pBdr>
                <w:bottom w:val="none" w:color="auto" w:sz="0" w:space="0"/>
              </w:pBdr>
              <w:ind w:right="600"/>
              <w:jc w:val="both"/>
              <w:rPr>
                <w:color w:val="000000"/>
                <w:sz w:val="21"/>
                <w:szCs w:val="21"/>
              </w:rPr>
            </w:pPr>
          </w:p>
        </w:tc>
        <w:tc>
          <w:tcPr>
            <w:tcW w:w="125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8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00" w:type="dxa"/>
            <w:vAlign w:val="center"/>
          </w:tcPr>
          <w:p>
            <w:pPr>
              <w:pStyle w:val="7"/>
              <w:pBdr>
                <w:bottom w:val="none" w:color="auto" w:sz="0" w:space="0"/>
              </w:pBdr>
              <w:ind w:right="600"/>
              <w:jc w:val="both"/>
              <w:rPr>
                <w:color w:val="000000"/>
                <w:sz w:val="21"/>
                <w:szCs w:val="21"/>
              </w:rPr>
            </w:pPr>
          </w:p>
        </w:tc>
        <w:tc>
          <w:tcPr>
            <w:tcW w:w="125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68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00" w:type="dxa"/>
            <w:vAlign w:val="center"/>
          </w:tcPr>
          <w:p>
            <w:pPr>
              <w:pStyle w:val="7"/>
              <w:pBdr>
                <w:bottom w:val="none" w:color="auto" w:sz="0" w:space="0"/>
              </w:pBdr>
              <w:ind w:right="600"/>
              <w:jc w:val="both"/>
              <w:rPr>
                <w:color w:val="000000"/>
                <w:sz w:val="21"/>
                <w:szCs w:val="21"/>
              </w:rPr>
            </w:pPr>
          </w:p>
        </w:tc>
        <w:tc>
          <w:tcPr>
            <w:tcW w:w="125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2023年3月6日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0D7F52D2"/>
    <w:rsid w:val="0EF60506"/>
    <w:rsid w:val="2F911172"/>
    <w:rsid w:val="6BFB1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 w:type="paragraph" w:customStyle="1" w:styleId="2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5896</Words>
  <Characters>6578</Characters>
  <Lines>67</Lines>
  <Paragraphs>18</Paragraphs>
  <TotalTime>12</TotalTime>
  <ScaleCrop>false</ScaleCrop>
  <LinksUpToDate>false</LinksUpToDate>
  <CharactersWithSpaces>6672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2023-03-10T13:49:58Z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