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北京联隆宏德机械加工有限公司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ascii="方正仿宋简体" w:eastAsia="方正仿宋简体"/>
                <w:b/>
              </w:rPr>
              <w:t>董凤全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热处理供方“北京龙祥正业热处理厂”进行评价的相关</w:t>
            </w:r>
            <w:r>
              <w:rPr>
                <w:rFonts w:ascii="方正仿宋简体" w:eastAsia="方正仿宋简体"/>
                <w:b/>
              </w:rPr>
              <w:t>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both"/>
        <w:rPr>
          <w:rFonts w:eastAsia="方正仿宋简体"/>
          <w:b/>
        </w:rPr>
      </w:pP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9EE"/>
    <w:rsid w:val="00526475"/>
    <w:rsid w:val="00573235"/>
    <w:rsid w:val="007459EE"/>
    <w:rsid w:val="00845034"/>
    <w:rsid w:val="008B4543"/>
    <w:rsid w:val="00A156E5"/>
    <w:rsid w:val="00B17804"/>
    <w:rsid w:val="00DC719F"/>
    <w:rsid w:val="00EA1872"/>
    <w:rsid w:val="00EC19BC"/>
    <w:rsid w:val="51556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2020-08-05T02:01:53Z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