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t>重庆中正物业管理有限公司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2023年03月09日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4820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2023-03-04T02:17:30Z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