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0153-2022-QEO-2023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重庆中正物业管理有限公司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重庆中正物业管理有限公司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重庆市渝北区双龙湖街道兰桂大道6号远展·香芷汀兰19幢1单元2-1</w:t>
            </w:r>
            <w:bookmarkEnd w:id="6"/>
          </w:p>
        </w:tc>
        <w:tc>
          <w:tcPr>
            <w:tcW w:w="1242" w:type="dxa"/>
            <w:vMerge w:val="restart"/>
            <w:vAlign w:val="center"/>
          </w:tcPr>
          <w:p>
            <w:r>
              <w:rPr>
                <w:rFonts w:hint="eastAsia"/>
              </w:rPr>
              <w:t>邮编</w:t>
            </w:r>
          </w:p>
        </w:tc>
        <w:tc>
          <w:tcPr>
            <w:tcW w:w="1771" w:type="dxa"/>
          </w:tcPr>
          <w:p>
            <w:bookmarkStart w:id="7" w:name="注册邮编"/>
            <w: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重庆市渝北区双龙湖街道兰桂大道6号远展·香芷汀兰19幢1单元2-1</w:t>
            </w:r>
            <w:bookmarkEnd w:id="8"/>
          </w:p>
        </w:tc>
        <w:tc>
          <w:tcPr>
            <w:tcW w:w="1242" w:type="dxa"/>
            <w:vMerge w:val="continue"/>
            <w:vAlign w:val="center"/>
          </w:tcPr>
          <w:p/>
        </w:tc>
        <w:tc>
          <w:tcPr>
            <w:tcW w:w="1771" w:type="dxa"/>
          </w:tcPr>
          <w:p>
            <w:bookmarkStart w:id="9" w:name="办公邮编"/>
            <w: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骆华梅</w:t>
            </w:r>
            <w:bookmarkEnd w:id="10"/>
          </w:p>
        </w:tc>
        <w:tc>
          <w:tcPr>
            <w:tcW w:w="1313" w:type="dxa"/>
            <w:vAlign w:val="center"/>
          </w:tcPr>
          <w:p>
            <w:r>
              <w:rPr>
                <w:rFonts w:hint="eastAsia"/>
              </w:rPr>
              <w:t>电话.</w:t>
            </w:r>
          </w:p>
        </w:tc>
        <w:tc>
          <w:tcPr>
            <w:tcW w:w="2180" w:type="dxa"/>
            <w:vAlign w:val="center"/>
          </w:tcPr>
          <w:p>
            <w:bookmarkStart w:id="11" w:name="联系人电话"/>
            <w:r>
              <w:t>13629798628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刘钧毅</w:t>
            </w:r>
            <w:bookmarkEnd w:id="13"/>
          </w:p>
        </w:tc>
        <w:tc>
          <w:tcPr>
            <w:tcW w:w="1313" w:type="dxa"/>
            <w:vAlign w:val="center"/>
          </w:tcPr>
          <w:p>
            <w:r>
              <w:rPr>
                <w:rFonts w:hint="eastAsia"/>
              </w:rPr>
              <w:t>管理者代表</w:t>
            </w:r>
          </w:p>
        </w:tc>
        <w:tc>
          <w:tcPr>
            <w:tcW w:w="2180" w:type="dxa"/>
          </w:tcPr>
          <w:p>
            <w:bookmarkStart w:id="14" w:name="管理者代表"/>
            <w:r>
              <w:t>骆华梅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多班次说明</w:t>
            </w:r>
          </w:p>
        </w:tc>
        <w:tc>
          <w:tcPr>
            <w:tcW w:w="8058" w:type="dxa"/>
            <w:gridSpan w:val="5"/>
            <w:shd w:val="clear" w:color="auto" w:fill="auto"/>
            <w:vAlign w:val="top"/>
          </w:tcPr>
          <w:p>
            <w:pPr>
              <w:rPr>
                <w:rFonts w:hint="eastAsia" w:ascii="Times New Roman" w:hAnsi="Times New Roman" w:eastAsia="宋体" w:cs="Times New Roman"/>
                <w:kern w:val="2"/>
                <w:sz w:val="21"/>
                <w:szCs w:val="24"/>
                <w:highlight w:val="cyan"/>
                <w:lang w:val="en-US" w:eastAsia="zh-CN" w:bidi="ar-SA"/>
              </w:rPr>
            </w:pPr>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rFonts w:ascii="Times New Roman" w:hAnsi="Times New Roman" w:eastAsia="宋体" w:cs="Times New Roman"/>
                <w:kern w:val="2"/>
                <w:sz w:val="21"/>
                <w:szCs w:val="24"/>
                <w:lang w:val="en-US" w:eastAsia="zh-CN" w:bidi="ar-SA"/>
              </w:rPr>
            </w:pPr>
          </w:p>
        </w:tc>
        <w:tc>
          <w:tcPr>
            <w:tcW w:w="8058" w:type="dxa"/>
            <w:gridSpan w:val="5"/>
            <w:shd w:val="clear" w:color="auto" w:fill="auto"/>
            <w:vAlign w:val="top"/>
          </w:tcPr>
          <w:p>
            <w:pPr>
              <w:widowControl/>
              <w:jc w:val="left"/>
            </w:pPr>
            <w:r>
              <w:t>环境卫生服务（生活垃圾清扫、收集、运输）</w:t>
            </w:r>
            <w:r>
              <w:rPr>
                <w:rFonts w:hint="eastAsia"/>
              </w:rPr>
              <w:t>：</w:t>
            </w:r>
          </w:p>
          <w:p>
            <w:pPr>
              <w:tabs>
                <w:tab w:val="left" w:pos="540"/>
              </w:tabs>
              <w:spacing w:line="300" w:lineRule="exact"/>
            </w:pPr>
            <w:r>
              <w:rPr>
                <w:rFonts w:hint="eastAsia"/>
              </w:rPr>
              <w:t>合同签订—清洁清扫—垃圾收集转运—交环卫处</w:t>
            </w:r>
          </w:p>
          <w:p>
            <w:pPr>
              <w:tabs>
                <w:tab w:val="left" w:pos="540"/>
              </w:tabs>
              <w:spacing w:line="300" w:lineRule="exact"/>
            </w:pPr>
            <w:r>
              <w:rPr>
                <w:rFonts w:hint="eastAsia"/>
              </w:rPr>
              <w:t>园林绿化养护：合同签订—养护方案拟定—日常养护—养护质量检查</w:t>
            </w:r>
          </w:p>
          <w:p>
            <w:pPr>
              <w:tabs>
                <w:tab w:val="left" w:pos="540"/>
              </w:tabs>
              <w:spacing w:line="300" w:lineRule="exact"/>
            </w:pPr>
            <w:r>
              <w:rPr>
                <w:rFonts w:hint="eastAsia"/>
              </w:rPr>
              <w:t>园林绿化工程施工：</w:t>
            </w:r>
          </w:p>
          <w:p>
            <w:pPr>
              <w:tabs>
                <w:tab w:val="left" w:pos="540"/>
              </w:tabs>
              <w:spacing w:line="300" w:lineRule="exact"/>
            </w:pPr>
            <w:r>
              <w:rPr>
                <w:rFonts w:hint="eastAsia"/>
              </w:rPr>
              <w:t>合同签订—施工方案拟定—清理场地—场地平整—放线定点—苗木种植—后续维护</w:t>
            </w:r>
          </w:p>
          <w:p>
            <w:pPr>
              <w:tabs>
                <w:tab w:val="left" w:pos="540"/>
              </w:tabs>
              <w:spacing w:line="300" w:lineRule="exact"/>
            </w:pPr>
            <w:r>
              <w:rPr>
                <w:rFonts w:hint="eastAsia"/>
              </w:rPr>
              <w:t>苗木销售</w:t>
            </w:r>
          </w:p>
          <w:p>
            <w:pPr>
              <w:tabs>
                <w:tab w:val="left" w:pos="540"/>
              </w:tabs>
              <w:spacing w:line="300" w:lineRule="exact"/>
              <w:rPr>
                <w:rFonts w:hint="eastAsia" w:ascii="Times New Roman" w:hAnsi="Times New Roman" w:eastAsia="宋体" w:cs="Times New Roman"/>
                <w:kern w:val="2"/>
                <w:sz w:val="21"/>
                <w:szCs w:val="24"/>
                <w:lang w:val="en-US" w:eastAsia="zh-CN" w:bidi="ar-SA"/>
              </w:rPr>
            </w:pPr>
            <w:r>
              <w:rPr>
                <w:rFonts w:hint="eastAsia"/>
              </w:rPr>
              <w:t>与客户洽谈—签订合同—采购—验收—交付—售后服务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2023年03月09日 上午至2023年03月09日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重庆市渝北区双龙湖街道兰桂大道6号远展·香芷汀兰19幢1单元2-1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Q：认可：苗木销售；</w:t>
            </w:r>
          </w:p>
          <w:p>
            <w:r>
              <w:t>未认可：园林绿化工程施工；资质范围内园林绿化养护、环境卫生服务（生活垃圾清扫、收集、运输）</w:t>
            </w:r>
          </w:p>
          <w:p>
            <w:r>
              <w:t>E：园林绿化工程施工；苗木销售；资质范围内园林绿化养护、环境卫生服务（生活垃圾清扫、收集、运输）所涉及场所的相关环境管理活动</w:t>
            </w:r>
          </w:p>
          <w:p>
            <w:r>
              <w:t>O：园林绿化工程施工；苗木销售；资质范围内园林绿化养护、环境卫生服务（生活垃圾清扫、收集、运输）所涉及场所的相关职业健康安全管理活动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Q：29.12.00;31.04.01;35.16.03;35.17.00;39.02.01</w:t>
            </w:r>
          </w:p>
          <w:p>
            <w:r>
              <w:t>E：29.12.00;31.04.01;35.16.03;35.17.00;39.02.01</w:t>
            </w:r>
          </w:p>
          <w:p>
            <w:r>
              <w:t>O：29.12.00;31.04.01;35.16.03;35.17.00;39.02.01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lang w:val="en-US" w:eastAsia="zh-CN" w:bidi="ar-SA"/>
              </w:rPr>
            </w:pPr>
            <w:r>
              <w:rPr>
                <w:rFonts w:hint="eastAsia"/>
              </w:rPr>
              <w:t>不适用ISO9001的条款</w:t>
            </w:r>
          </w:p>
        </w:tc>
        <w:tc>
          <w:tcPr>
            <w:tcW w:w="7831" w:type="dxa"/>
            <w:gridSpan w:val="3"/>
            <w:vAlign w:val="top"/>
          </w:tcPr>
          <w:p>
            <w:pPr>
              <w:rPr>
                <w:rFonts w:ascii="Times New Roman" w:hAnsi="Times New Roman" w:eastAsia="宋体" w:cs="Times New Roman"/>
                <w:kern w:val="2"/>
                <w:sz w:val="21"/>
                <w:szCs w:val="24"/>
                <w:lang w:val="en-US" w:eastAsia="zh-CN" w:bidi="ar-SA"/>
              </w:rPr>
            </w:pPr>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lang w:val="en-US" w:eastAsia="zh-CN" w:bidi="ar-SA"/>
              </w:rPr>
            </w:pPr>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宋体"/>
                <w:szCs w:val="21"/>
              </w:rPr>
              <w:t>2019年12月1日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2022年03月13日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w:t>
            </w:r>
            <w:r>
              <w:rPr>
                <w:rFonts w:hint="eastAsia"/>
                <w:highlight w:val="none"/>
              </w:rPr>
              <w:t>效至</w:t>
            </w:r>
            <w:r>
              <w:rPr>
                <w:rFonts w:hint="eastAsia"/>
                <w:highlight w:val="none"/>
                <w:lang w:val="en-US" w:eastAsia="zh-CN"/>
              </w:rPr>
              <w:t>2025</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10</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75"/>
        <w:gridCol w:w="989"/>
        <w:gridCol w:w="2085"/>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75" w:type="dxa"/>
            <w:shd w:val="clear" w:color="auto" w:fill="F3F3F3"/>
            <w:tcMar>
              <w:left w:w="57" w:type="dxa"/>
              <w:right w:w="57" w:type="dxa"/>
            </w:tcMar>
          </w:tcPr>
          <w:p>
            <w:r>
              <w:rPr>
                <w:rFonts w:hint="eastAsia"/>
              </w:rPr>
              <w:t>经营场所的地址</w:t>
            </w:r>
          </w:p>
          <w:p>
            <w:r>
              <w:rPr>
                <w:rFonts w:hint="eastAsia"/>
              </w:rPr>
              <w:t>（多现场和临时现场）</w:t>
            </w:r>
          </w:p>
        </w:tc>
        <w:tc>
          <w:tcPr>
            <w:tcW w:w="989" w:type="dxa"/>
            <w:shd w:val="clear" w:color="auto" w:fill="F3F3F3"/>
            <w:tcMar>
              <w:left w:w="57" w:type="dxa"/>
              <w:right w:w="57" w:type="dxa"/>
            </w:tcMar>
          </w:tcPr>
          <w:p>
            <w:r>
              <w:rPr>
                <w:rFonts w:hint="eastAsia"/>
              </w:rPr>
              <w:t>员工人数</w:t>
            </w:r>
          </w:p>
        </w:tc>
        <w:tc>
          <w:tcPr>
            <w:tcW w:w="2085" w:type="dxa"/>
            <w:shd w:val="clear" w:color="auto" w:fill="F3F3F3"/>
            <w:tcMar>
              <w:left w:w="57" w:type="dxa"/>
              <w:right w:w="57" w:type="dxa"/>
            </w:tcMar>
          </w:tcPr>
          <w:p>
            <w:r>
              <w:rPr>
                <w:rFonts w:hint="eastAsia"/>
              </w:rPr>
              <w:t>审核范围（产品和过程）</w:t>
            </w:r>
          </w:p>
          <w:p/>
          <w:p/>
        </w:tc>
        <w:tc>
          <w:tcPr>
            <w:tcW w:w="17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highlight w:val="none"/>
              </w:rPr>
            </w:pPr>
            <w:r>
              <w:rPr>
                <w:rFonts w:hint="eastAsia" w:ascii="宋体" w:hAnsi="宋体" w:cs="宋体"/>
                <w:color w:val="000000"/>
                <w:kern w:val="0"/>
                <w:szCs w:val="21"/>
                <w:highlight w:val="none"/>
              </w:rPr>
              <w:t>重庆中正物业管理有限公司/</w:t>
            </w:r>
          </w:p>
          <w:p>
            <w:pPr>
              <w:widowControl/>
              <w:jc w:val="left"/>
              <w:rPr>
                <w:rFonts w:hint="eastAsia" w:ascii="宋体" w:hAnsi="宋体" w:eastAsia="宋体" w:cs="宋体"/>
                <w:color w:val="000000"/>
                <w:kern w:val="0"/>
                <w:sz w:val="21"/>
                <w:szCs w:val="21"/>
                <w:highlight w:val="none"/>
                <w:lang w:val="de-DE" w:eastAsia="ja-JP" w:bidi="ar-SA"/>
              </w:rPr>
            </w:pPr>
            <w:r>
              <w:rPr>
                <w:rFonts w:ascii="宋体" w:hAnsi="宋体" w:cs="宋体"/>
                <w:color w:val="000000"/>
                <w:kern w:val="0"/>
                <w:szCs w:val="21"/>
                <w:highlight w:val="none"/>
              </w:rPr>
              <w:t>重庆市渝北区双龙湖街道兰桂大道6号远展·香芷汀兰19幢1单元2-1</w:t>
            </w:r>
          </w:p>
        </w:tc>
        <w:tc>
          <w:tcPr>
            <w:tcW w:w="1475" w:type="dxa"/>
            <w:vAlign w:val="top"/>
          </w:tcPr>
          <w:p>
            <w:pPr>
              <w:rPr>
                <w:rFonts w:ascii="Times New Roman" w:hAnsi="Times New Roman" w:eastAsia="宋体" w:cs="Times New Roman"/>
                <w:kern w:val="2"/>
                <w:sz w:val="21"/>
                <w:szCs w:val="24"/>
                <w:highlight w:val="none"/>
                <w:lang w:val="de-DE" w:eastAsia="ja-JP" w:bidi="ar-SA"/>
              </w:rPr>
            </w:pPr>
            <w:r>
              <w:rPr>
                <w:rFonts w:ascii="宋体" w:hAnsi="宋体" w:cs="宋体"/>
                <w:color w:val="000000"/>
                <w:kern w:val="0"/>
                <w:szCs w:val="21"/>
                <w:highlight w:val="none"/>
              </w:rPr>
              <w:t>重庆市渝北区双龙湖街道兰桂大道6号远展·香芷汀兰19幢1单元2-1</w:t>
            </w:r>
          </w:p>
        </w:tc>
        <w:tc>
          <w:tcPr>
            <w:tcW w:w="989" w:type="dxa"/>
            <w:vAlign w:val="center"/>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总人数</w:t>
            </w:r>
            <w:r>
              <w:rPr>
                <w:rFonts w:hint="eastAsia"/>
                <w:highlight w:val="none"/>
              </w:rPr>
              <w:t>63</w:t>
            </w:r>
            <w:r>
              <w:rPr>
                <w:rFonts w:hint="eastAsia"/>
                <w:highlight w:val="none"/>
                <w:lang w:eastAsia="zh-CN"/>
              </w:rPr>
              <w:t>（</w:t>
            </w:r>
            <w:r>
              <w:rPr>
                <w:rFonts w:hint="eastAsia"/>
                <w:highlight w:val="none"/>
                <w:lang w:val="en-US" w:eastAsia="zh-CN"/>
              </w:rPr>
              <w:t>含临时场所25人</w:t>
            </w:r>
            <w:r>
              <w:rPr>
                <w:rFonts w:hint="eastAsia"/>
                <w:highlight w:val="none"/>
                <w:lang w:eastAsia="zh-CN"/>
              </w:rPr>
              <w:t>）</w:t>
            </w:r>
          </w:p>
        </w:tc>
        <w:tc>
          <w:tcPr>
            <w:tcW w:w="2085" w:type="dxa"/>
            <w:vAlign w:val="center"/>
          </w:tcPr>
          <w:p>
            <w:pPr>
              <w:rPr>
                <w:rFonts w:ascii="Times New Roman" w:hAnsi="Times New Roman" w:eastAsia="宋体" w:cs="Times New Roman"/>
                <w:kern w:val="2"/>
                <w:sz w:val="21"/>
                <w:szCs w:val="24"/>
                <w:highlight w:val="none"/>
                <w:lang w:val="en-US" w:eastAsia="ja-JP" w:bidi="ar-SA"/>
              </w:rPr>
            </w:pPr>
            <w:r>
              <w:rPr>
                <w:rFonts w:ascii="宋体" w:hAnsi="宋体" w:cs="宋体"/>
                <w:color w:val="000000"/>
                <w:kern w:val="0"/>
                <w:szCs w:val="21"/>
                <w:highlight w:val="none"/>
              </w:rPr>
              <w:t>园林绿化工程施工；苗木销售；资质范围内园林绿化养护、环境卫生服务（生活垃圾清扫、收集、运输）</w:t>
            </w:r>
          </w:p>
        </w:tc>
        <w:tc>
          <w:tcPr>
            <w:tcW w:w="1761" w:type="dxa"/>
            <w:vAlign w:val="center"/>
          </w:tcPr>
          <w:p>
            <w:pPr>
              <w:pStyle w:val="20"/>
              <w:rPr>
                <w:highlight w:val="none"/>
              </w:rPr>
            </w:pPr>
            <w:r>
              <w:rPr>
                <w:rFonts w:hint="eastAsia"/>
                <w:highlight w:val="none"/>
              </w:rPr>
              <w:t xml:space="preserve">GB/T19001-2016 GB/T24001-2016 </w:t>
            </w:r>
          </w:p>
          <w:p>
            <w:pPr>
              <w:rPr>
                <w:rFonts w:ascii="Times New Roman" w:hAnsi="Times New Roman" w:eastAsia="宋体" w:cs="Times New Roman"/>
                <w:kern w:val="2"/>
                <w:sz w:val="21"/>
                <w:szCs w:val="24"/>
                <w:highlight w:val="none"/>
                <w:lang w:val="en-US" w:eastAsia="ja-JP" w:bidi="ar-SA"/>
              </w:rPr>
            </w:pPr>
            <w:r>
              <w:rPr>
                <w:rFonts w:hint="eastAsia"/>
                <w:highlight w:val="none"/>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color w:val="auto"/>
                <w:highlight w:val="none"/>
              </w:rPr>
            </w:pPr>
            <w:r>
              <w:rPr>
                <w:rFonts w:hint="eastAsia" w:ascii="宋体" w:hAnsi="宋体" w:cs="宋体"/>
                <w:color w:val="auto"/>
                <w:kern w:val="0"/>
                <w:szCs w:val="21"/>
                <w:highlight w:val="none"/>
              </w:rPr>
              <w:t>重庆中正物业管理有限公司/</w:t>
            </w:r>
          </w:p>
          <w:p>
            <w:pPr>
              <w:rPr>
                <w:rFonts w:ascii="Times New Roman" w:hAnsi="Times New Roman" w:eastAsia="宋体" w:cs="Times New Roman"/>
                <w:color w:val="auto"/>
                <w:kern w:val="2"/>
                <w:sz w:val="21"/>
                <w:szCs w:val="24"/>
                <w:highlight w:val="none"/>
                <w:lang w:val="en-US" w:eastAsia="ja-JP" w:bidi="ar-SA"/>
              </w:rPr>
            </w:pPr>
            <w:r>
              <w:rPr>
                <w:rFonts w:ascii="宋体" w:hAnsi="宋体" w:cs="宋体"/>
                <w:color w:val="auto"/>
                <w:kern w:val="0"/>
                <w:szCs w:val="21"/>
                <w:highlight w:val="none"/>
              </w:rPr>
              <w:t>重庆市渝北区双龙湖街道兰桂大道6号远展·香芷汀兰19幢1单元2-1</w:t>
            </w:r>
          </w:p>
        </w:tc>
        <w:tc>
          <w:tcPr>
            <w:tcW w:w="1475" w:type="dxa"/>
            <w:vAlign w:val="center"/>
          </w:tcPr>
          <w:p>
            <w:pPr>
              <w:rPr>
                <w:rFonts w:ascii="Times New Roman" w:hAnsi="Times New Roman" w:eastAsia="宋体" w:cs="Times New Roman"/>
                <w:color w:val="auto"/>
                <w:kern w:val="2"/>
                <w:sz w:val="21"/>
                <w:szCs w:val="24"/>
                <w:highlight w:val="none"/>
                <w:lang w:val="en-US" w:eastAsia="ja-JP" w:bidi="ar-SA"/>
              </w:rPr>
            </w:pPr>
            <w:r>
              <w:rPr>
                <w:rFonts w:ascii="华文宋体" w:hAnsi="华文宋体" w:eastAsia="华文宋体"/>
                <w:color w:val="auto"/>
                <w:szCs w:val="21"/>
                <w:highlight w:val="none"/>
              </w:rPr>
              <w:t>渝北区空港片区</w:t>
            </w:r>
          </w:p>
        </w:tc>
        <w:tc>
          <w:tcPr>
            <w:tcW w:w="989" w:type="dxa"/>
            <w:vAlign w:val="center"/>
          </w:tcPr>
          <w:p>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25</w:t>
            </w:r>
            <w:r>
              <w:rPr>
                <w:rFonts w:hint="eastAsia"/>
                <w:color w:val="auto"/>
                <w:highlight w:val="none"/>
                <w:lang w:val="en-US" w:eastAsia="zh-CN"/>
              </w:rPr>
              <w:t>人</w:t>
            </w:r>
          </w:p>
        </w:tc>
        <w:tc>
          <w:tcPr>
            <w:tcW w:w="2085" w:type="dxa"/>
            <w:vAlign w:val="center"/>
          </w:tcPr>
          <w:p>
            <w:pPr>
              <w:rPr>
                <w:rFonts w:ascii="Times New Roman" w:hAnsi="Times New Roman" w:eastAsia="宋体" w:cs="Times New Roman"/>
                <w:color w:val="auto"/>
                <w:kern w:val="2"/>
                <w:sz w:val="21"/>
                <w:szCs w:val="24"/>
                <w:highlight w:val="none"/>
                <w:lang w:val="en-US" w:eastAsia="ja-JP" w:bidi="ar-SA"/>
              </w:rPr>
            </w:pPr>
            <w:r>
              <w:rPr>
                <w:rFonts w:ascii="宋体" w:hAnsi="宋体" w:cs="宋体"/>
                <w:color w:val="auto"/>
                <w:kern w:val="0"/>
                <w:szCs w:val="21"/>
                <w:highlight w:val="none"/>
              </w:rPr>
              <w:t>园林绿化工程施工；资质范围内园林绿化养护、环境卫生服务（生活垃圾清扫、收集、运输）</w:t>
            </w:r>
          </w:p>
        </w:tc>
        <w:tc>
          <w:tcPr>
            <w:tcW w:w="1761" w:type="dxa"/>
            <w:vAlign w:val="center"/>
          </w:tcPr>
          <w:p>
            <w:pPr>
              <w:pStyle w:val="20"/>
              <w:rPr>
                <w:color w:val="auto"/>
                <w:highlight w:val="none"/>
              </w:rPr>
            </w:pPr>
            <w:r>
              <w:rPr>
                <w:rFonts w:hint="eastAsia"/>
                <w:color w:val="auto"/>
                <w:highlight w:val="none"/>
              </w:rPr>
              <w:t xml:space="preserve">GB/T19001-2016 GB/T24001-2016 </w:t>
            </w:r>
          </w:p>
          <w:p>
            <w:pPr>
              <w:rPr>
                <w:rFonts w:ascii="Times New Roman" w:hAnsi="Times New Roman" w:eastAsia="宋体" w:cs="Times New Roman"/>
                <w:color w:val="auto"/>
                <w:kern w:val="2"/>
                <w:sz w:val="21"/>
                <w:szCs w:val="24"/>
                <w:highlight w:val="none"/>
                <w:lang w:val="en-US" w:eastAsia="ja-JP" w:bidi="ar-SA"/>
              </w:rPr>
            </w:pPr>
            <w:r>
              <w:rPr>
                <w:rFonts w:hint="eastAsia"/>
                <w:color w:val="auto"/>
                <w:highlight w:val="none"/>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75" w:type="dxa"/>
            <w:vAlign w:val="center"/>
          </w:tcPr>
          <w:p>
            <w:pPr>
              <w:rPr>
                <w:lang w:eastAsia="ja-JP"/>
              </w:rPr>
            </w:pPr>
          </w:p>
        </w:tc>
        <w:tc>
          <w:tcPr>
            <w:tcW w:w="989" w:type="dxa"/>
            <w:vAlign w:val="center"/>
          </w:tcPr>
          <w:p>
            <w:pPr>
              <w:rPr>
                <w:lang w:eastAsia="ja-JP"/>
              </w:rPr>
            </w:pPr>
          </w:p>
        </w:tc>
        <w:tc>
          <w:tcPr>
            <w:tcW w:w="2085" w:type="dxa"/>
            <w:vAlign w:val="center"/>
          </w:tcPr>
          <w:p>
            <w:pPr>
              <w:rPr>
                <w:lang w:eastAsia="ja-JP"/>
              </w:rPr>
            </w:pPr>
          </w:p>
        </w:tc>
        <w:tc>
          <w:tcPr>
            <w:tcW w:w="17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75" w:type="dxa"/>
            <w:vAlign w:val="center"/>
          </w:tcPr>
          <w:p>
            <w:pPr>
              <w:rPr>
                <w:lang w:eastAsia="ja-JP"/>
              </w:rPr>
            </w:pPr>
          </w:p>
        </w:tc>
        <w:tc>
          <w:tcPr>
            <w:tcW w:w="989" w:type="dxa"/>
            <w:vAlign w:val="center"/>
          </w:tcPr>
          <w:p>
            <w:pPr>
              <w:rPr>
                <w:lang w:eastAsia="ja-JP"/>
              </w:rPr>
            </w:pPr>
          </w:p>
        </w:tc>
        <w:tc>
          <w:tcPr>
            <w:tcW w:w="2085" w:type="dxa"/>
            <w:vAlign w:val="center"/>
          </w:tcPr>
          <w:p>
            <w:pPr>
              <w:rPr>
                <w:lang w:eastAsia="ja-JP"/>
              </w:rPr>
            </w:pPr>
          </w:p>
        </w:tc>
        <w:tc>
          <w:tcPr>
            <w:tcW w:w="17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75" w:type="dxa"/>
            <w:vAlign w:val="center"/>
          </w:tcPr>
          <w:p>
            <w:pPr>
              <w:rPr>
                <w:lang w:eastAsia="ja-JP"/>
              </w:rPr>
            </w:pPr>
          </w:p>
        </w:tc>
        <w:tc>
          <w:tcPr>
            <w:tcW w:w="989" w:type="dxa"/>
            <w:vAlign w:val="center"/>
          </w:tcPr>
          <w:p>
            <w:pPr>
              <w:rPr>
                <w:lang w:eastAsia="ja-JP"/>
              </w:rPr>
            </w:pPr>
          </w:p>
        </w:tc>
        <w:tc>
          <w:tcPr>
            <w:tcW w:w="2085" w:type="dxa"/>
            <w:vAlign w:val="center"/>
          </w:tcPr>
          <w:p>
            <w:pPr>
              <w:rPr>
                <w:lang w:eastAsia="ja-JP"/>
              </w:rPr>
            </w:pPr>
          </w:p>
        </w:tc>
        <w:tc>
          <w:tcPr>
            <w:tcW w:w="176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Q:29.12.00,35.17.00</w:t>
            </w:r>
          </w:p>
          <w:p>
            <w:r>
              <w:t>E:29.12.00</w:t>
            </w:r>
          </w:p>
          <w:p>
            <w:r>
              <w:t>O:29.12.00,35.16.03,35.17.00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明利红</w:t>
            </w:r>
          </w:p>
        </w:tc>
        <w:tc>
          <w:tcPr>
            <w:tcW w:w="1089" w:type="dxa"/>
            <w:vAlign w:val="center"/>
          </w:tcPr>
          <w:p>
            <w:r>
              <w:t>组员</w:t>
            </w:r>
          </w:p>
        </w:tc>
        <w:tc>
          <w:tcPr>
            <w:tcW w:w="711" w:type="dxa"/>
            <w:vAlign w:val="center"/>
          </w:tcPr>
          <w:p>
            <w:r>
              <w:t>女</w:t>
            </w:r>
          </w:p>
        </w:tc>
        <w:tc>
          <w:tcPr>
            <w:tcW w:w="3870" w:type="dxa"/>
            <w:vAlign w:val="center"/>
          </w:tcPr>
          <w:p>
            <w:r>
              <w:t>2020-N1QMS-3093634</w:t>
            </w:r>
          </w:p>
          <w:p>
            <w:r>
              <w:t>2021-N1EMS-3093634</w:t>
            </w:r>
          </w:p>
          <w:p>
            <w:r>
              <w:t>2022-N1OHSMS-3093634</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Q:29.12.00,31.04.01,35.16.03,35.17.00,39.02.01</w:t>
            </w:r>
          </w:p>
          <w:p>
            <w:r>
              <w:t>E:29.12.00,31.04.01,35.16.03,35.17.00,39.02.01</w:t>
            </w:r>
          </w:p>
          <w:p>
            <w:r>
              <w:t>O:29.12.00,31.04.01,35.16.03,35.17.00,39.02.01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Q:29.12.00,31.04.01</w:t>
            </w:r>
          </w:p>
          <w:p>
            <w:r>
              <w:t>E:29.12.00,31.04.01,35.16.03</w:t>
            </w:r>
          </w:p>
          <w:p>
            <w:r>
              <w:t>O:29.12.00,31.04.01,35.16.03,35.17.00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rPr>
            </w:pPr>
            <w:r>
              <w:rPr>
                <w:rFonts w:hint="eastAsia" w:eastAsia="宋体"/>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宋体"/>
                <w:lang w:val="en-US" w:eastAsia="zh-CN"/>
              </w:rPr>
            </w:pPr>
            <w:r>
              <w:rPr>
                <w:rFonts w:hint="eastAsia" w:eastAsia="宋体"/>
              </w:rPr>
              <w:t>上次不符合发生在</w:t>
            </w:r>
            <w:r>
              <w:rPr>
                <w:rFonts w:hint="eastAsia" w:eastAsia="宋体"/>
                <w:lang w:val="en-US" w:eastAsia="zh-CN"/>
              </w:rPr>
              <w:t>工程部的Q7.1.5条款及综合部EO9.1.2条款</w:t>
            </w:r>
            <w:r>
              <w:rPr>
                <w:rFonts w:hint="eastAsia" w:eastAsia="宋体"/>
              </w:rPr>
              <w:t>，经本次现场验证，无类似情况出现，整改有效。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园林绿化工程施工；苗木销售；资质范围内园林绿化养护、环境卫生服务（生活垃圾清扫、收集、运输）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园林绿化工程施工；苗木销售；资质范围内园林绿化养护、环境卫生服务（生活垃圾清扫、收集、运输）所涉及场所的相关环境管理活动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园林绿化工程施工；苗木销售；资质范围内园林绿化养护、环境卫生服务（生活垃圾清扫、收集、运输）所涉及场所的相关职业健康安全管理活动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冉景洲</w:t>
            </w: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ascii="宋体"/>
                <w:b/>
                <w:color w:val="000000" w:themeColor="text1"/>
                <w:szCs w:val="21"/>
              </w:rPr>
            </w:pPr>
            <w:r>
              <w:rPr>
                <w:rFonts w:hint="eastAsia" w:ascii="宋体"/>
                <w:b/>
                <w:color w:val="000000" w:themeColor="text1"/>
                <w:szCs w:val="21"/>
              </w:rPr>
              <w:t>2023年03月09日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□QMS体系建立以来</w:t>
            </w:r>
            <w:r>
              <w:rPr>
                <w:rFonts w:hint="eastAsia" w:ascii="宋体" w:hAnsi="宋体" w:cs="宋体"/>
                <w:highlight w:val="none"/>
              </w:rPr>
              <w:t>■</w:t>
            </w:r>
            <w:r>
              <w:rPr>
                <w:rFonts w:hint="eastAsia"/>
                <w:highlight w:val="none"/>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highlight w:val="none"/>
                    </w:rPr>
                  </w:pPr>
                </w:p>
              </w:tc>
              <w:tc>
                <w:tcPr>
                  <w:tcW w:w="7375" w:type="dxa"/>
                </w:tcPr>
                <w:p>
                  <w:pPr>
                    <w:shd w:val="clear" w:color="auto" w:fill="C7DAF1" w:themeFill="text2"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外部环境</w:t>
                  </w:r>
                </w:p>
              </w:tc>
              <w:tc>
                <w:tcPr>
                  <w:tcW w:w="7375" w:type="dxa"/>
                </w:tcPr>
                <w:p>
                  <w:pPr>
                    <w:shd w:val="clear" w:color="auto" w:fill="C7DAF1" w:themeFill="text2" w:themeFillTint="32"/>
                    <w:rPr>
                      <w:highlight w:val="none"/>
                    </w:rPr>
                  </w:pPr>
                  <w:r>
                    <w:rPr>
                      <w:rFonts w:hint="eastAsia"/>
                      <w:highlight w:val="none"/>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内部环境</w:t>
                  </w:r>
                </w:p>
              </w:tc>
              <w:tc>
                <w:tcPr>
                  <w:tcW w:w="7375" w:type="dxa"/>
                </w:tcPr>
                <w:p>
                  <w:pPr>
                    <w:shd w:val="clear" w:color="auto" w:fill="C7DAF1" w:themeFill="text2" w:themeFillTint="32"/>
                    <w:rPr>
                      <w:highlight w:val="none"/>
                    </w:rPr>
                  </w:pPr>
                  <w:r>
                    <w:rPr>
                      <w:rFonts w:hint="eastAsia"/>
                      <w:highlight w:val="none"/>
                    </w:rPr>
                    <w:t xml:space="preserve">■价值观  ■文化  □知识■绩效 □工艺 </w:t>
                  </w:r>
                  <w:r>
                    <w:rPr>
                      <w:rFonts w:hint="eastAsia" w:ascii="宋体" w:hAnsi="宋体" w:eastAsia="宋体" w:cs="宋体"/>
                      <w:highlight w:val="none"/>
                    </w:rPr>
                    <w:t>■</w:t>
                  </w:r>
                  <w:r>
                    <w:rPr>
                      <w:rFonts w:hint="eastAsia"/>
                      <w:highlight w:val="none"/>
                    </w:rPr>
                    <w:t xml:space="preserve">设备■人员能力 □其他 </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重要的相关方</w:t>
                  </w:r>
                </w:p>
              </w:tc>
              <w:tc>
                <w:tcPr>
                  <w:tcW w:w="6912" w:type="dxa"/>
                </w:tcPr>
                <w:p>
                  <w:pPr>
                    <w:shd w:val="clear" w:color="auto" w:fill="C7DAF1" w:themeFill="text2"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■主管部门</w:t>
                  </w:r>
                </w:p>
              </w:tc>
              <w:tc>
                <w:tcPr>
                  <w:tcW w:w="6912" w:type="dxa"/>
                </w:tcPr>
                <w:p>
                  <w:pPr>
                    <w:shd w:val="clear" w:color="auto" w:fill="C7DAF1" w:themeFill="text2" w:themeFillTint="32"/>
                    <w:rPr>
                      <w:highlight w:val="none"/>
                    </w:rPr>
                  </w:pPr>
                  <w:r>
                    <w:rPr>
                      <w:rFonts w:hint="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■供方</w:t>
                  </w:r>
                </w:p>
              </w:tc>
              <w:tc>
                <w:tcPr>
                  <w:tcW w:w="6912" w:type="dxa"/>
                </w:tcPr>
                <w:p>
                  <w:pPr>
                    <w:shd w:val="clear" w:color="auto" w:fill="C7DAF1" w:themeFill="text2" w:themeFillTint="32"/>
                    <w:rPr>
                      <w:highlight w:val="none"/>
                    </w:rPr>
                  </w:pPr>
                  <w:r>
                    <w:rPr>
                      <w:rFonts w:hint="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■顾客</w:t>
                  </w:r>
                </w:p>
              </w:tc>
              <w:tc>
                <w:tcPr>
                  <w:tcW w:w="6912" w:type="dxa"/>
                </w:tcPr>
                <w:p>
                  <w:pPr>
                    <w:shd w:val="clear" w:color="auto" w:fill="C7DAF1" w:themeFill="text2" w:themeFillTint="32"/>
                    <w:rPr>
                      <w:highlight w:val="none"/>
                    </w:rPr>
                  </w:pPr>
                  <w:r>
                    <w:rPr>
                      <w:rFonts w:hint="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□消费者</w:t>
                  </w:r>
                </w:p>
              </w:tc>
              <w:tc>
                <w:tcPr>
                  <w:tcW w:w="6912" w:type="dxa"/>
                </w:tcPr>
                <w:p>
                  <w:pPr>
                    <w:shd w:val="clear" w:color="auto" w:fill="C7DAF1" w:themeFill="text2" w:themeFillTint="32"/>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■员工</w:t>
                  </w:r>
                </w:p>
              </w:tc>
              <w:tc>
                <w:tcPr>
                  <w:tcW w:w="6912" w:type="dxa"/>
                </w:tcPr>
                <w:p>
                  <w:pPr>
                    <w:shd w:val="clear" w:color="auto" w:fill="C7DAF1" w:themeFill="text2"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□投资方</w:t>
                  </w:r>
                </w:p>
              </w:tc>
              <w:tc>
                <w:tcPr>
                  <w:tcW w:w="6912" w:type="dxa"/>
                </w:tcPr>
                <w:p>
                  <w:pPr>
                    <w:shd w:val="clear" w:color="auto" w:fill="C7DAF1" w:themeFill="text2" w:themeFillTint="32"/>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□其他</w:t>
                  </w:r>
                </w:p>
              </w:tc>
              <w:tc>
                <w:tcPr>
                  <w:tcW w:w="6912" w:type="dxa"/>
                </w:tcPr>
                <w:p>
                  <w:pPr>
                    <w:shd w:val="clear" w:color="auto" w:fill="C7DAF1" w:themeFill="text2" w:themeFillTint="32"/>
                    <w:rPr>
                      <w:highlight w:val="none"/>
                    </w:rPr>
                  </w:pP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w:t>
            </w:r>
            <w:r>
              <w:rPr>
                <w:rFonts w:hint="eastAsia"/>
                <w:color w:val="000000" w:themeColor="text1"/>
              </w:rPr>
              <w:t>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ascii="宋体" w:hAnsi="宋体" w:cs="宋体"/>
                <w:szCs w:val="21"/>
              </w:rPr>
            </w:pPr>
            <w:r>
              <w:rPr>
                <w:rFonts w:hint="eastAsia"/>
                <w:lang w:val="en-GB"/>
              </w:rPr>
              <w:t>最高管理者制定了文件化的管理体系方针：</w:t>
            </w:r>
            <w:r>
              <w:rPr>
                <w:rFonts w:hint="eastAsia" w:ascii="宋体" w:hAnsi="宋体" w:cs="宋体"/>
                <w:b/>
                <w:bCs/>
                <w:szCs w:val="21"/>
              </w:rPr>
              <w:t>诚信经营、打造精品、持续改进、提升管理、</w:t>
            </w:r>
            <w:r>
              <w:rPr>
                <w:rFonts w:hint="eastAsia" w:ascii="宋体" w:hAnsi="宋体" w:cs="宋体"/>
                <w:b/>
                <w:bCs/>
                <w:szCs w:val="21"/>
              </w:rPr>
              <w:br w:type="textWrapping"/>
            </w:r>
            <w:r>
              <w:rPr>
                <w:rFonts w:hint="eastAsia" w:ascii="宋体" w:hAnsi="宋体" w:cs="宋体"/>
                <w:b/>
                <w:bCs/>
                <w:szCs w:val="21"/>
              </w:rPr>
              <w:t xml:space="preserve">  遵纪守法、减少污染、安全生产、和谐社会</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b/>
                <w:bCs/>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公司服务不及时，顾客埋怨投诉较多，导致客户流失风险</w:t>
                  </w:r>
                </w:p>
              </w:tc>
              <w:tc>
                <w:tcPr>
                  <w:tcW w:w="3965" w:type="dxa"/>
                </w:tcPr>
                <w:p>
                  <w:pPr>
                    <w:shd w:val="clear" w:color="auto" w:fill="C7DAF1" w:themeFill="text2" w:themeFillTint="32"/>
                  </w:pPr>
                  <w:r>
                    <w:rPr>
                      <w:rFonts w:hint="eastAsia" w:ascii="宋体" w:hAnsi="宋体" w:cs="宋体"/>
                      <w:szCs w:val="21"/>
                    </w:rPr>
                    <w:t>各个部门要严格按照作业计划、方案等实施服务，提高客户满意度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采购成本增加，使公司的服务不具备竞争能力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3212"/>
              <w:gridCol w:w="118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12"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188"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847" w:type="dxa"/>
                  <w:shd w:val="clear" w:color="auto" w:fill="auto"/>
                </w:tcPr>
                <w:p>
                  <w:pPr>
                    <w:shd w:val="clear" w:color="auto" w:fill="C7DAF1" w:themeFill="text2" w:themeFillTint="32"/>
                    <w:ind w:firstLine="210" w:firstLineChars="100"/>
                    <w:rPr>
                      <w:rFonts w:hint="eastAsia"/>
                      <w:color w:val="000000" w:themeColor="text1"/>
                    </w:rPr>
                  </w:pPr>
                  <w:r>
                    <w:rPr>
                      <w:rFonts w:hint="eastAsia"/>
                      <w:color w:val="000000" w:themeColor="text1"/>
                    </w:rPr>
                    <w:t>目标实际完成</w:t>
                  </w:r>
                </w:p>
                <w:p>
                  <w:pPr>
                    <w:pStyle w:val="2"/>
                    <w:rPr>
                      <w:rFonts w:hint="default" w:eastAsia="宋体"/>
                      <w:color w:val="000000" w:themeColor="text1"/>
                      <w:lang w:val="en-US" w:eastAsia="zh-CN"/>
                    </w:rPr>
                  </w:pPr>
                  <w:r>
                    <w:rPr>
                      <w:rFonts w:hint="eastAsia" w:ascii="宋体" w:hAnsi="宋体"/>
                      <w:color w:val="000000" w:themeColor="text1"/>
                      <w:lang w:val="en-US" w:eastAsia="zh-CN"/>
                    </w:rPr>
                    <w:t>2022年7月-12月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pPr>
                    <w:rPr>
                      <w:rFonts w:hint="eastAsia"/>
                    </w:rPr>
                  </w:pPr>
                  <w:r>
                    <w:rPr>
                      <w:rFonts w:hint="eastAsia" w:ascii="宋体" w:hAnsi="宋体" w:cs="宋体"/>
                      <w:szCs w:val="21"/>
                    </w:rPr>
                    <w:t>顾客满意度80分</w:t>
                  </w:r>
                </w:p>
              </w:tc>
              <w:tc>
                <w:tcPr>
                  <w:tcW w:w="3212" w:type="dxa"/>
                  <w:shd w:val="clear" w:color="auto" w:fill="auto"/>
                  <w:vAlign w:val="center"/>
                </w:tcPr>
                <w:p>
                  <w:pPr>
                    <w:spacing w:line="360" w:lineRule="auto"/>
                    <w:rPr>
                      <w:color w:val="000000" w:themeColor="text1"/>
                      <w:lang w:val="en-GB"/>
                    </w:rPr>
                  </w:pPr>
                  <w:r>
                    <w:rPr>
                      <w:rFonts w:hint="eastAsia" w:ascii="宋体" w:hAnsi="宋体" w:cs="宋体"/>
                      <w:color w:val="000000" w:themeColor="text1"/>
                      <w:kern w:val="0"/>
                      <w:szCs w:val="21"/>
                    </w:rPr>
                    <w:t>满意度=客户打分总分数÷调查客户数量；</w:t>
                  </w:r>
                </w:p>
              </w:tc>
              <w:tc>
                <w:tcPr>
                  <w:tcW w:w="1188" w:type="dxa"/>
                  <w:shd w:val="clear" w:color="auto" w:fill="auto"/>
                  <w:vAlign w:val="center"/>
                </w:tcPr>
                <w:p>
                  <w:pPr>
                    <w:shd w:val="clear" w:color="auto" w:fill="C7DAF1" w:themeFill="text2" w:themeFillTint="32"/>
                    <w:rPr>
                      <w:color w:val="000000" w:themeColor="text1"/>
                    </w:rPr>
                  </w:pPr>
                  <w:r>
                    <w:rPr>
                      <w:rFonts w:hint="eastAsia" w:ascii="宋体" w:hAnsi="宋体" w:cs="宋体"/>
                      <w:color w:val="000000" w:themeColor="text1"/>
                      <w:kern w:val="0"/>
                    </w:rPr>
                    <w:t>经营部</w:t>
                  </w:r>
                </w:p>
              </w:tc>
              <w:tc>
                <w:tcPr>
                  <w:tcW w:w="1847" w:type="dxa"/>
                  <w:shd w:val="clear" w:color="auto" w:fill="auto"/>
                  <w:vAlign w:val="center"/>
                </w:tcPr>
                <w:p>
                  <w:pPr>
                    <w:jc w:val="center"/>
                    <w:rPr>
                      <w:rFonts w:ascii="宋体" w:hAnsi="宋体"/>
                      <w:color w:val="000000" w:themeColor="text1"/>
                    </w:rPr>
                  </w:pPr>
                  <w:r>
                    <w:rPr>
                      <w:rFonts w:hint="eastAsia" w:ascii="宋体" w:hAnsi="宋体"/>
                      <w:color w:val="000000" w:themeColor="text1"/>
                      <w:szCs w:val="21"/>
                    </w:rPr>
                    <w:t>9</w:t>
                  </w:r>
                  <w:r>
                    <w:rPr>
                      <w:rFonts w:hint="eastAsia" w:ascii="宋体" w:hAnsi="宋体"/>
                      <w:color w:val="000000" w:themeColor="text1"/>
                      <w:szCs w:val="21"/>
                      <w:lang w:val="en-US" w:eastAsia="zh-CN"/>
                    </w:rPr>
                    <w:t>2</w:t>
                  </w:r>
                  <w:r>
                    <w:rPr>
                      <w:rFonts w:hint="eastAsia" w:ascii="宋体" w:hAnsi="宋体"/>
                      <w:color w:val="000000" w:themeColor="text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r>
                    <w:rPr>
                      <w:rFonts w:hint="eastAsia" w:ascii="宋体" w:hAnsi="宋体" w:cs="宋体"/>
                      <w:szCs w:val="21"/>
                    </w:rPr>
                    <w:t>合同履约率100%；</w:t>
                  </w:r>
                </w:p>
                <w:p>
                  <w:pPr>
                    <w:widowControl/>
                    <w:jc w:val="left"/>
                    <w:textAlignment w:val="center"/>
                    <w:rPr>
                      <w:rFonts w:ascii="宋体" w:hAnsi="宋体" w:cs="宋体"/>
                      <w:color w:val="000000"/>
                      <w:sz w:val="20"/>
                      <w:szCs w:val="20"/>
                    </w:rPr>
                  </w:pPr>
                </w:p>
              </w:tc>
              <w:tc>
                <w:tcPr>
                  <w:tcW w:w="3212" w:type="dxa"/>
                  <w:shd w:val="clear" w:color="auto" w:fill="auto"/>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szCs w:val="21"/>
                    </w:rPr>
                    <w:t>合同履约数</w:t>
                  </w:r>
                  <w:r>
                    <w:rPr>
                      <w:rFonts w:hint="eastAsia" w:ascii="宋体" w:hAnsi="宋体" w:cs="宋体"/>
                      <w:color w:val="000000" w:themeColor="text1"/>
                      <w:kern w:val="0"/>
                      <w:sz w:val="20"/>
                      <w:szCs w:val="20"/>
                      <w:lang w:bidi="ar"/>
                    </w:rPr>
                    <w:t>/</w:t>
                  </w:r>
                  <w:r>
                    <w:rPr>
                      <w:rFonts w:hint="eastAsia" w:ascii="宋体" w:hAnsi="宋体" w:cs="宋体"/>
                      <w:color w:val="000000" w:themeColor="text1"/>
                      <w:szCs w:val="21"/>
                    </w:rPr>
                    <w:t>合同签订总数</w:t>
                  </w:r>
                  <w:r>
                    <w:rPr>
                      <w:rFonts w:hint="eastAsia" w:ascii="宋体" w:hAnsi="宋体" w:cs="宋体"/>
                      <w:color w:val="000000" w:themeColor="text1"/>
                      <w:kern w:val="0"/>
                      <w:sz w:val="20"/>
                      <w:szCs w:val="20"/>
                      <w:lang w:bidi="ar"/>
                    </w:rPr>
                    <w:t>*100%</w:t>
                  </w:r>
                </w:p>
              </w:tc>
              <w:tc>
                <w:tcPr>
                  <w:tcW w:w="1188"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rPr>
                    <w:t>经营部</w:t>
                  </w:r>
                </w:p>
              </w:tc>
              <w:tc>
                <w:tcPr>
                  <w:tcW w:w="1847" w:type="dxa"/>
                  <w:shd w:val="clear" w:color="auto" w:fill="auto"/>
                  <w:vAlign w:val="center"/>
                </w:tcPr>
                <w:p>
                  <w:pPr>
                    <w:jc w:val="center"/>
                    <w:rPr>
                      <w:rFonts w:hint="default" w:ascii="宋体" w:hAnsi="宋体" w:eastAsia="宋体"/>
                      <w:color w:val="000000" w:themeColor="text1"/>
                      <w:lang w:val="en-US" w:eastAsia="zh-CN"/>
                    </w:rPr>
                  </w:pPr>
                  <w:r>
                    <w:rPr>
                      <w:rFonts w:hint="eastAsia" w:ascii="宋体" w:hAnsi="宋体" w:cs="宋体"/>
                      <w:color w:val="000000" w:themeColor="text1"/>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szCs w:val="21"/>
                    </w:rPr>
                    <w:t>工程交付合格率 100％</w:t>
                  </w:r>
                </w:p>
              </w:tc>
              <w:tc>
                <w:tcPr>
                  <w:tcW w:w="3212" w:type="dxa"/>
                  <w:shd w:val="clear" w:color="auto" w:fill="auto"/>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szCs w:val="21"/>
                    </w:rPr>
                    <w:t>工程交付合格</w:t>
                  </w:r>
                  <w:r>
                    <w:rPr>
                      <w:rFonts w:hint="eastAsia" w:ascii="宋体" w:hAnsi="宋体" w:cs="宋体"/>
                      <w:color w:val="000000" w:themeColor="text1"/>
                      <w:kern w:val="0"/>
                      <w:sz w:val="20"/>
                      <w:szCs w:val="20"/>
                      <w:lang w:bidi="ar"/>
                    </w:rPr>
                    <w:t>数/</w:t>
                  </w:r>
                  <w:r>
                    <w:rPr>
                      <w:rFonts w:hint="eastAsia" w:ascii="宋体" w:hAnsi="宋体" w:cs="宋体"/>
                      <w:color w:val="000000" w:themeColor="text1"/>
                      <w:szCs w:val="21"/>
                    </w:rPr>
                    <w:t>工程交付</w:t>
                  </w:r>
                  <w:r>
                    <w:rPr>
                      <w:rFonts w:hint="eastAsia" w:ascii="宋体" w:hAnsi="宋体" w:cs="宋体"/>
                      <w:color w:val="000000" w:themeColor="text1"/>
                      <w:kern w:val="0"/>
                      <w:sz w:val="20"/>
                      <w:szCs w:val="20"/>
                      <w:lang w:bidi="ar"/>
                    </w:rPr>
                    <w:t>总数*100%</w:t>
                  </w:r>
                </w:p>
              </w:tc>
              <w:tc>
                <w:tcPr>
                  <w:tcW w:w="1188"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olor w:val="000000" w:themeColor="text1"/>
                    </w:rPr>
                    <w:t>工程</w:t>
                  </w:r>
                  <w:r>
                    <w:rPr>
                      <w:rFonts w:ascii="宋体" w:hAnsi="宋体"/>
                      <w:color w:val="000000" w:themeColor="text1"/>
                    </w:rPr>
                    <w:t>部</w:t>
                  </w:r>
                </w:p>
              </w:tc>
              <w:tc>
                <w:tcPr>
                  <w:tcW w:w="1847" w:type="dxa"/>
                  <w:shd w:val="clear" w:color="auto" w:fill="auto"/>
                  <w:vAlign w:val="center"/>
                </w:tcPr>
                <w:p>
                  <w:pPr>
                    <w:widowControl/>
                    <w:ind w:firstLine="630" w:firstLineChars="300"/>
                    <w:jc w:val="left"/>
                    <w:rPr>
                      <w:rFonts w:ascii="宋体" w:hAnsi="宋体"/>
                      <w:color w:val="000000" w:themeColor="text1"/>
                    </w:rPr>
                  </w:pPr>
                  <w:r>
                    <w:rPr>
                      <w:rFonts w:hint="eastAsia" w:ascii="宋体" w:hAnsi="宋体" w:cs="宋体"/>
                      <w:color w:val="000000" w:themeColor="text1"/>
                      <w:kern w:val="0"/>
                      <w:szCs w:val="21"/>
                      <w:lang w:val="en-US" w:eastAsia="zh-CN"/>
                    </w:rPr>
                    <w:t>100%</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rPr>
              <w:t>组织应确定、提供并维护所</w:t>
            </w:r>
            <w:r>
              <w:rPr>
                <w:rFonts w:hint="eastAsia"/>
                <w:color w:val="000000" w:themeColor="text1"/>
              </w:rPr>
              <w:t>需的基础设施情况：</w:t>
            </w:r>
          </w:p>
          <w:p>
            <w:pPr>
              <w:shd w:val="clear" w:color="auto" w:fill="C7DAF1" w:themeFill="text2" w:themeFillTint="32"/>
              <w:rPr>
                <w:color w:val="000000" w:themeColor="text1"/>
              </w:rPr>
            </w:pPr>
            <w:r>
              <w:rPr>
                <w:rFonts w:hint="eastAsia"/>
                <w:color w:val="000000" w:themeColor="text1"/>
              </w:rPr>
              <w:t>办公场所共约</w:t>
            </w:r>
            <w:r>
              <w:rPr>
                <w:rFonts w:hint="eastAsia"/>
                <w:color w:val="000000" w:themeColor="text1"/>
                <w:u w:val="single"/>
              </w:rPr>
              <w:t>200</w:t>
            </w:r>
            <w:r>
              <w:rPr>
                <w:rFonts w:hint="eastAsia"/>
                <w:color w:val="000000" w:themeColor="text1"/>
              </w:rPr>
              <w:t>平方米；临时场所</w:t>
            </w:r>
            <w:r>
              <w:rPr>
                <w:rFonts w:hint="eastAsia"/>
                <w:color w:val="000000" w:themeColor="text1"/>
                <w:u w:val="single"/>
              </w:rPr>
              <w:t>1</w:t>
            </w:r>
            <w:r>
              <w:rPr>
                <w:rFonts w:hint="eastAsia"/>
                <w:color w:val="000000" w:themeColor="text1"/>
              </w:rPr>
              <w:t>个；库房 1个；实验室   个；</w:t>
            </w:r>
          </w:p>
          <w:p>
            <w:pPr>
              <w:shd w:val="clear" w:color="auto" w:fill="C7DAF1" w:themeFill="text2" w:themeFillTint="32"/>
              <w:rPr>
                <w:rFonts w:ascii="宋体" w:hAnsi="宋体" w:cs="宋体"/>
                <w:color w:val="000000" w:themeColor="text1"/>
                <w:szCs w:val="21"/>
              </w:rPr>
            </w:pPr>
            <w:r>
              <w:rPr>
                <w:rFonts w:hint="eastAsia"/>
                <w:color w:val="000000" w:themeColor="text1"/>
              </w:rPr>
              <w:t>主要生产设备有：</w:t>
            </w:r>
            <w:r>
              <w:rPr>
                <w:rFonts w:hint="eastAsia" w:ascii="宋体" w:hAnsi="宋体" w:cs="宋体"/>
                <w:color w:val="000000" w:themeColor="text1"/>
                <w:szCs w:val="21"/>
              </w:rPr>
              <w:t>装载车、工程车、清扫车、垃圾车、街道清扫车、绿篱机、剪草机、喷雾器、高压清洗机、吸水器、单擦机、电脑及办公设备</w:t>
            </w:r>
          </w:p>
          <w:p>
            <w:pPr>
              <w:shd w:val="clear" w:color="auto" w:fill="C7DAF1" w:themeFill="text2" w:themeFillTint="32"/>
              <w:rPr>
                <w:color w:val="000000" w:themeColor="text1"/>
              </w:rPr>
            </w:pPr>
            <w:r>
              <w:rPr>
                <w:rFonts w:hint="eastAsia"/>
                <w:color w:val="000000" w:themeColor="text1"/>
              </w:rPr>
              <w:t>特种设备：</w:t>
            </w:r>
            <w:r>
              <w:rPr>
                <w:rFonts w:hint="eastAsia" w:ascii="Wingdings" w:hAnsi="Wingdings"/>
                <w:color w:val="000000" w:themeColor="text1"/>
              </w:rPr>
              <w:t>□</w:t>
            </w:r>
            <w:r>
              <w:rPr>
                <w:rFonts w:hint="eastAsia"/>
                <w:color w:val="000000" w:themeColor="text1"/>
              </w:rPr>
              <w:t>叉车</w:t>
            </w:r>
            <w:r>
              <w:rPr>
                <w:rFonts w:hint="eastAsia" w:ascii="Wingdings" w:hAnsi="Wingdings"/>
                <w:color w:val="000000" w:themeColor="text1"/>
              </w:rPr>
              <w:t>□</w:t>
            </w:r>
            <w:r>
              <w:rPr>
                <w:rFonts w:hint="eastAsia"/>
                <w:color w:val="000000" w:themeColor="text1"/>
              </w:rPr>
              <w:t>行车</w:t>
            </w:r>
            <w:r>
              <w:rPr>
                <w:rFonts w:hint="eastAsia" w:ascii="Wingdings" w:hAnsi="Wingdings"/>
                <w:color w:val="000000" w:themeColor="text1"/>
              </w:rPr>
              <w:t>□</w:t>
            </w:r>
            <w:r>
              <w:rPr>
                <w:rFonts w:hint="eastAsia"/>
                <w:color w:val="000000" w:themeColor="text1"/>
              </w:rPr>
              <w:t>锅炉</w:t>
            </w:r>
            <w:r>
              <w:rPr>
                <w:rFonts w:hint="eastAsia" w:ascii="Wingdings" w:hAnsi="Wingdings"/>
                <w:color w:val="000000" w:themeColor="text1"/>
              </w:rPr>
              <w:t>□</w:t>
            </w:r>
            <w:r>
              <w:rPr>
                <w:rFonts w:hint="eastAsia"/>
                <w:color w:val="000000" w:themeColor="text1"/>
              </w:rPr>
              <w:t>电梯</w:t>
            </w:r>
            <w:r>
              <w:rPr>
                <w:rFonts w:hint="eastAsia" w:ascii="Wingdings" w:hAnsi="Wingdings"/>
                <w:color w:val="000000" w:themeColor="text1"/>
              </w:rPr>
              <w:t>□</w:t>
            </w:r>
            <w:r>
              <w:rPr>
                <w:rFonts w:hint="eastAsia"/>
                <w:color w:val="000000" w:themeColor="text1"/>
              </w:rPr>
              <w:t>压力容器</w:t>
            </w:r>
            <w:r>
              <w:rPr>
                <w:rFonts w:hint="eastAsia" w:ascii="Wingdings" w:hAnsi="Wingdings"/>
                <w:color w:val="000000" w:themeColor="text1"/>
              </w:rPr>
              <w:t>□</w:t>
            </w:r>
            <w:r>
              <w:rPr>
                <w:rFonts w:hint="eastAsia"/>
                <w:color w:val="000000" w:themeColor="text1"/>
              </w:rPr>
              <w:t>压力管道</w:t>
            </w:r>
            <w:r>
              <w:rPr>
                <w:rFonts w:hint="eastAsia" w:ascii="宋体" w:hAnsi="宋体" w:eastAsia="宋体" w:cs="宋体"/>
                <w:color w:val="000000" w:themeColor="text1"/>
              </w:rPr>
              <w:t>■</w:t>
            </w:r>
            <w:r>
              <w:rPr>
                <w:rFonts w:hint="eastAsia"/>
                <w:color w:val="000000" w:themeColor="text1"/>
              </w:rPr>
              <w:t>不适用</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rPr>
              <w:t>□</w:t>
            </w:r>
            <w:r>
              <w:rPr>
                <w:rFonts w:hint="eastAsia"/>
                <w:color w:val="000000" w:themeColor="text1"/>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服务流</w:t>
            </w:r>
            <w:r>
              <w:rPr>
                <w:rFonts w:hint="eastAsia"/>
                <w:color w:val="000000" w:themeColor="text1"/>
              </w:rPr>
              <w:t xml:space="preserve">程检查表  </w:t>
            </w:r>
            <w:r>
              <w:rPr>
                <w:rFonts w:hint="eastAsia"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 xml:space="preserve">方法： </w:t>
            </w:r>
            <w:r>
              <w:rPr>
                <w:rFonts w:hint="eastAsia" w:ascii="Wingdings" w:hAnsi="Wingdings"/>
                <w:color w:val="000000" w:themeColor="text1"/>
              </w:rPr>
              <w:t>□</w:t>
            </w:r>
            <w:r>
              <w:rPr>
                <w:rFonts w:hint="eastAsia"/>
                <w:color w:val="000000" w:themeColor="text1"/>
              </w:rPr>
              <w:t xml:space="preserve">自校   </w:t>
            </w:r>
            <w:r>
              <w:rPr>
                <w:rFonts w:hint="eastAsia" w:ascii="Wingdings" w:hAnsi="Wingdings"/>
                <w:color w:val="000000" w:themeColor="text1"/>
              </w:rPr>
              <w:t>■</w:t>
            </w:r>
            <w:r>
              <w:rPr>
                <w:rFonts w:hint="eastAsia"/>
                <w:color w:val="000000" w:themeColor="text1"/>
              </w:rPr>
              <w:t>外校</w:t>
            </w:r>
          </w:p>
          <w:p>
            <w:pPr>
              <w:shd w:val="clear" w:color="auto" w:fill="C7DAF1" w:themeFill="text2" w:themeFillTint="32"/>
              <w:rPr>
                <w:rFonts w:ascii="宋体" w:hAnsi="宋体" w:cs="宋体"/>
                <w:color w:val="000000" w:themeColor="text1"/>
                <w:szCs w:val="21"/>
                <w:u w:val="single"/>
              </w:rPr>
            </w:pPr>
            <w:r>
              <w:rPr>
                <w:rFonts w:hint="eastAsia"/>
                <w:color w:val="000000" w:themeColor="text1"/>
              </w:rPr>
              <w:t>国家强检的计量器具有：</w:t>
            </w:r>
          </w:p>
          <w:p>
            <w:pPr>
              <w:shd w:val="clear" w:color="auto" w:fill="C7DAF1" w:themeFill="text2" w:themeFillTint="32"/>
              <w:rPr>
                <w:u w:val="single"/>
              </w:rPr>
            </w:pPr>
            <w:r>
              <w:rPr>
                <w:rFonts w:hint="eastAsia"/>
                <w:color w:val="000000" w:themeColor="text1"/>
              </w:rPr>
              <w:t>计量器具管理：</w:t>
            </w:r>
            <w:r>
              <w:rPr>
                <w:rFonts w:hint="eastAsia" w:ascii="宋体" w:hAnsi="宋体" w:eastAsia="宋体" w:cs="宋体"/>
                <w:color w:val="000000" w:themeColor="text1"/>
              </w:rPr>
              <w:t>■</w:t>
            </w:r>
            <w:r>
              <w:rPr>
                <w:rFonts w:hint="eastAsia"/>
                <w:color w:val="000000" w:themeColor="text1"/>
              </w:rPr>
              <w:t>进行了定期校准/检定</w:t>
            </w:r>
            <w:r>
              <w:rPr>
                <w:rFonts w:hint="eastAsia"/>
                <w:color w:val="000000" w:themeColor="text1"/>
                <w:lang w:eastAsia="zh-CN"/>
              </w:rPr>
              <w:t>：</w:t>
            </w:r>
            <w:r>
              <w:rPr>
                <w:rFonts w:hint="eastAsia"/>
                <w:color w:val="000000" w:themeColor="text1"/>
                <w:szCs w:val="21"/>
                <w:u w:val="single"/>
              </w:rPr>
              <w:t>经纬仪、钢卷尺</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未进行定期校准/检定的有</w:t>
            </w:r>
            <w:r>
              <w:rPr>
                <w:rFonts w:hint="eastAsia"/>
              </w:rPr>
              <w:t>：</w:t>
            </w:r>
            <w:r>
              <w:rPr>
                <w:rFonts w:hint="eastAsia" w:ascii="宋体" w:hAnsi="宋体" w:cs="宋体"/>
                <w:szCs w:val="2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宋体" w:hAnsi="宋体" w:eastAsia="宋体" w:cs="宋体"/>
                <w:color w:val="000000" w:themeColor="text1"/>
              </w:rPr>
              <w:t>■</w:t>
            </w:r>
            <w:r>
              <w:rPr>
                <w:rFonts w:hint="eastAsia" w:ascii="Wingdings" w:hAnsi="Wingdings"/>
                <w:lang w:eastAsia="zh-CN"/>
              </w:rPr>
              <w:t>电工</w:t>
            </w:r>
            <w:r>
              <w:rPr>
                <w:rFonts w:hint="eastAsia"/>
                <w:color w:val="000000" w:themeColor="text1"/>
              </w:rPr>
              <w:t xml:space="preserve"> </w:t>
            </w:r>
            <w:r>
              <w:rPr>
                <w:rFonts w:hint="eastAsia" w:ascii="Wingdings" w:hAnsi="Wingdings"/>
              </w:rPr>
              <w:t>□</w:t>
            </w:r>
            <w:r>
              <w:rPr>
                <w:rFonts w:hint="eastAsia"/>
                <w:color w:val="000000" w:themeColor="text1"/>
              </w:rPr>
              <w:t xml:space="preserve">焊工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其他</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工艺流程图 </w:t>
            </w:r>
            <w:r>
              <w:rPr>
                <w:rFonts w:hint="eastAsia" w:ascii="Wingdings" w:hAnsi="Wingdings"/>
                <w:color w:val="000000" w:themeColor="text1"/>
              </w:rPr>
              <w:t>■</w:t>
            </w:r>
            <w:r>
              <w:rPr>
                <w:rFonts w:hint="eastAsia"/>
                <w:color w:val="000000" w:themeColor="text1"/>
              </w:rPr>
              <w:t xml:space="preserve">作业文件  </w:t>
            </w:r>
            <w:r>
              <w:rPr>
                <w:rFonts w:hint="eastAsia" w:ascii="Wingdings" w:hAnsi="Wingdings"/>
                <w:color w:val="000000" w:themeColor="text1"/>
              </w:rPr>
              <w:t>□</w:t>
            </w:r>
            <w:r>
              <w:rPr>
                <w:rFonts w:hint="eastAsia"/>
                <w:color w:val="000000" w:themeColor="text1"/>
              </w:rPr>
              <w:t xml:space="preserve">检测计划   </w:t>
            </w:r>
            <w:r>
              <w:rPr>
                <w:rFonts w:hint="eastAsia" w:ascii="Wingdings" w:hAnsi="Wingdings"/>
                <w:color w:val="000000" w:themeColor="text1"/>
              </w:rPr>
              <w:t>□</w:t>
            </w:r>
            <w:r>
              <w:rPr>
                <w:rFonts w:hint="eastAsia"/>
                <w:color w:val="000000" w:themeColor="text1"/>
              </w:rPr>
              <w:t xml:space="preserve">接收准则  </w:t>
            </w:r>
            <w:r>
              <w:rPr>
                <w:rFonts w:hint="eastAsia" w:ascii="Wingdings" w:hAnsi="Wingdings"/>
                <w:color w:val="000000" w:themeColor="text1"/>
              </w:rPr>
              <w:t>□</w:t>
            </w:r>
            <w:r>
              <w:rPr>
                <w:rFonts w:hint="eastAsia"/>
                <w:color w:val="000000" w:themeColor="text1"/>
              </w:rPr>
              <w:t xml:space="preserve">外包控制要求 </w:t>
            </w:r>
            <w:r>
              <w:rPr>
                <w:rFonts w:hint="eastAsia"/>
              </w:rPr>
              <w:t xml:space="preserve">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pPr>
                  <w:r>
                    <w:rPr>
                      <w:rFonts w:ascii="宋体" w:hAnsi="宋体" w:cs="宋体"/>
                      <w:color w:val="000000"/>
                      <w:kern w:val="0"/>
                      <w:szCs w:val="21"/>
                    </w:rPr>
                    <w:t>园林绿化工程施工；苗木销售；资质范围内园林绿化养护、环境卫生服务（生活垃圾清扫、收集、运输）</w:t>
                  </w:r>
                </w:p>
              </w:tc>
              <w:tc>
                <w:tcPr>
                  <w:tcW w:w="2259" w:type="dxa"/>
                </w:tcPr>
                <w:p>
                  <w:pPr>
                    <w:rPr>
                      <w:szCs w:val="21"/>
                    </w:rPr>
                  </w:pPr>
                  <w:r>
                    <w:rPr>
                      <w:rFonts w:hint="eastAsia"/>
                      <w:szCs w:val="21"/>
                    </w:rPr>
                    <w:t>关键过程：</w:t>
                  </w:r>
                  <w:r>
                    <w:rPr>
                      <w:rFonts w:hint="eastAsia"/>
                      <w:color w:val="000000" w:themeColor="text1"/>
                      <w:sz w:val="20"/>
                    </w:rPr>
                    <w:t>服务</w:t>
                  </w:r>
                  <w:r>
                    <w:rPr>
                      <w:rFonts w:hint="eastAsia"/>
                      <w:szCs w:val="21"/>
                    </w:rPr>
                    <w:t>过程</w:t>
                  </w:r>
                </w:p>
                <w:p>
                  <w:pPr>
                    <w:rPr>
                      <w:szCs w:val="21"/>
                    </w:rPr>
                  </w:pPr>
                </w:p>
              </w:tc>
              <w:tc>
                <w:tcPr>
                  <w:tcW w:w="3640" w:type="dxa"/>
                </w:tcPr>
                <w:p>
                  <w:pPr>
                    <w:rPr>
                      <w:szCs w:val="21"/>
                    </w:rPr>
                  </w:pPr>
                  <w:r>
                    <w:rPr>
                      <w:rFonts w:hint="eastAsia" w:ascii="宋体" w:hAnsi="宋体"/>
                      <w:color w:val="000000" w:themeColor="text1"/>
                      <w:szCs w:val="21"/>
                    </w:rPr>
                    <w:t>包括方案制定、人员能力培训、服务过程监控、合同履行交期、服务质量达标情况等。</w:t>
                  </w:r>
                </w:p>
              </w:tc>
            </w:tr>
          </w:tbl>
          <w:p>
            <w:pPr>
              <w:shd w:val="clear" w:color="auto" w:fill="C7DAF1" w:themeFill="text2" w:themeFillTint="32"/>
              <w:jc w:val="left"/>
            </w:pPr>
          </w:p>
          <w:p>
            <w:pPr>
              <w:rPr>
                <w:color w:val="000000" w:themeColor="text1"/>
              </w:rPr>
            </w:pPr>
            <w:r>
              <w:rPr>
                <w:rFonts w:hint="eastAsia"/>
              </w:rPr>
              <w:t>需要确认的过程：</w:t>
            </w:r>
            <w:r>
              <w:rPr>
                <w:rFonts w:hint="eastAsia"/>
                <w:u w:val="single"/>
              </w:rPr>
              <w:t>销</w:t>
            </w:r>
            <w:r>
              <w:rPr>
                <w:rFonts w:hint="eastAsia"/>
                <w:color w:val="000000" w:themeColor="text1"/>
                <w:u w:val="single"/>
              </w:rPr>
              <w:t>售</w:t>
            </w:r>
            <w:r>
              <w:rPr>
                <w:rFonts w:hint="eastAsia"/>
                <w:color w:val="000000" w:themeColor="text1"/>
                <w:szCs w:val="21"/>
                <w:u w:val="single"/>
              </w:rPr>
              <w:t>服务过程、隐蔽工程</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2023年1月5日-6日</w:t>
            </w:r>
            <w:r>
              <w:rPr>
                <w:rFonts w:hint="eastAsia"/>
              </w:rPr>
              <w:t>实施了质量管理体系内部审核，对质量管理体系的符合性和有效性进行了审</w:t>
            </w:r>
            <w:r>
              <w:rPr>
                <w:rFonts w:hint="eastAsia"/>
                <w:color w:val="000000" w:themeColor="text1"/>
              </w:rPr>
              <w:t>核。内审发现的</w:t>
            </w:r>
            <w:r>
              <w:rPr>
                <w:rFonts w:hint="eastAsia"/>
                <w:color w:val="000000" w:themeColor="text1"/>
                <w:u w:val="single"/>
              </w:rPr>
              <w:t xml:space="preserve"> </w:t>
            </w:r>
            <w:r>
              <w:rPr>
                <w:rFonts w:hint="eastAsia"/>
                <w:color w:val="000000" w:themeColor="text1"/>
                <w:u w:val="single"/>
                <w:lang w:val="en-US" w:eastAsia="zh-CN"/>
              </w:rPr>
              <w:t>1</w:t>
            </w:r>
            <w:r>
              <w:rPr>
                <w:rFonts w:hint="eastAsia"/>
                <w:color w:val="000000" w:themeColor="text1"/>
                <w:u w:val="single"/>
              </w:rPr>
              <w:t xml:space="preserve"> </w:t>
            </w:r>
            <w:r>
              <w:rPr>
                <w:rFonts w:hint="eastAsia"/>
                <w:color w:val="000000" w:themeColor="text1"/>
              </w:rPr>
              <w:t>项不符合在本次审核前已完</w:t>
            </w:r>
            <w:r>
              <w:rPr>
                <w:rFonts w:hint="eastAsia"/>
              </w:rPr>
              <w:t>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2023年2月15日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w:t>
            </w:r>
            <w:r>
              <w:rPr>
                <w:rFonts w:hint="eastAsia" w:ascii="Wingdings" w:hAnsi="Wingdings"/>
              </w:rPr>
              <w:t>□</w:t>
            </w:r>
            <w:r>
              <w:rPr>
                <w:rFonts w:hint="eastAsia"/>
              </w:rPr>
              <w:t xml:space="preserve">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173" w:tblpY="309"/>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color w:val="000000" w:themeColor="text1"/>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rFonts w:hint="eastAsia" w:eastAsia="宋体"/>
                <w:color w:val="000000" w:themeColor="text1"/>
                <w:lang w:val="en-US" w:eastAsia="zh-CN"/>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b/>
                <w:bCs/>
              </w:rPr>
              <w:t xml:space="preserve"> </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color w:val="000000" w:themeColor="text1"/>
                <w:lang w:val="en-GB"/>
              </w:rPr>
              <w:t>过程如下</w:t>
            </w:r>
            <w:r>
              <w:rPr>
                <w:rFonts w:hint="eastAsia"/>
                <w:b/>
                <w:bCs/>
                <w:color w:val="000000" w:themeColor="text1"/>
              </w:rPr>
              <w:t>:无</w:t>
            </w:r>
            <w:r>
              <w:rPr>
                <w:rFonts w:hint="eastAsia"/>
                <w:b/>
                <w:bCs/>
                <w:color w:val="000000" w:themeColor="text1"/>
                <w:lang w:val="en-GB"/>
              </w:rPr>
              <w:t xml:space="preserve"> </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ascii="宋体" w:hAnsi="宋体" w:cs="宋体"/>
                <w:szCs w:val="21"/>
              </w:rPr>
            </w:pPr>
            <w:r>
              <w:rPr>
                <w:rFonts w:hint="eastAsia"/>
              </w:rPr>
              <w:t>最高管</w:t>
            </w:r>
            <w:r>
              <w:rPr>
                <w:rFonts w:hint="eastAsia"/>
                <w:lang w:val="en-GB"/>
              </w:rPr>
              <w:t>理者制定了文件化的管理体系方针</w:t>
            </w:r>
            <w:r>
              <w:rPr>
                <w:rFonts w:hint="eastAsia"/>
                <w:u w:val="single"/>
                <w:lang w:val="en-GB"/>
              </w:rPr>
              <w:t>：</w:t>
            </w:r>
            <w:r>
              <w:rPr>
                <w:rFonts w:hint="eastAsia" w:ascii="宋体" w:hAnsi="宋体" w:cs="宋体"/>
                <w:b/>
                <w:bCs/>
                <w:szCs w:val="21"/>
              </w:rPr>
              <w:t>诚信经营、打造精品、持续改进、提升管理、</w:t>
            </w:r>
            <w:r>
              <w:rPr>
                <w:rFonts w:hint="eastAsia" w:ascii="宋体" w:hAnsi="宋体" w:cs="宋体"/>
                <w:b/>
                <w:bCs/>
                <w:szCs w:val="21"/>
              </w:rPr>
              <w:br w:type="textWrapping"/>
            </w:r>
            <w:r>
              <w:rPr>
                <w:rFonts w:hint="eastAsia" w:ascii="宋体" w:hAnsi="宋体" w:cs="宋体"/>
                <w:b/>
                <w:bCs/>
                <w:szCs w:val="21"/>
              </w:rPr>
              <w:t xml:space="preserve">  遵纪守法、减少污染、安全生产、和谐社会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潜在火灾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固废排放</w:t>
                  </w:r>
                </w:p>
              </w:tc>
              <w:tc>
                <w:tcPr>
                  <w:tcW w:w="4438" w:type="dxa"/>
                </w:tcPr>
                <w:p>
                  <w:pPr>
                    <w:shd w:val="clear" w:color="auto" w:fill="EBF1DE" w:themeFill="accent3" w:themeFillTint="32"/>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粉尘排放</w:t>
                  </w:r>
                </w:p>
              </w:tc>
              <w:tc>
                <w:tcPr>
                  <w:tcW w:w="4438" w:type="dxa"/>
                </w:tcPr>
                <w:p>
                  <w:pPr>
                    <w:shd w:val="clear" w:color="auto" w:fill="EBF1DE" w:themeFill="accent3" w:themeFillTint="32"/>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bCs/>
                      <w:iCs/>
                      <w:color w:val="000000" w:themeColor="text1"/>
                      <w:szCs w:val="21"/>
                    </w:rPr>
                    <w:t>噪声排放</w:t>
                  </w:r>
                </w:p>
              </w:tc>
              <w:tc>
                <w:tcPr>
                  <w:tcW w:w="4438" w:type="dxa"/>
                </w:tcPr>
                <w:p>
                  <w:pPr>
                    <w:shd w:val="clear" w:color="auto" w:fill="EBF1DE" w:themeFill="accent3" w:themeFillTint="32"/>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bCs/>
                      <w:iCs/>
                      <w:color w:val="000000" w:themeColor="text1"/>
                      <w:szCs w:val="21"/>
                    </w:rPr>
                  </w:pPr>
                  <w:r>
                    <w:rPr>
                      <w:rFonts w:hint="eastAsia" w:asciiTheme="minorEastAsia" w:hAnsiTheme="minorEastAsia" w:eastAsiaTheme="minorEastAsia"/>
                      <w:bCs/>
                      <w:iCs/>
                      <w:color w:val="000000" w:themeColor="text1"/>
                      <w:szCs w:val="21"/>
                    </w:rPr>
                    <w:t>农药泄漏</w:t>
                  </w:r>
                </w:p>
              </w:tc>
              <w:tc>
                <w:tcPr>
                  <w:tcW w:w="4438" w:type="dxa"/>
                </w:tcPr>
                <w:p>
                  <w:pPr>
                    <w:shd w:val="clear" w:color="auto" w:fill="EBF1DE" w:themeFill="accent3" w:themeFillTint="32"/>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000000" w:themeColor="text1"/>
              </w:rPr>
            </w:pPr>
            <w:r>
              <w:rPr>
                <w:rFonts w:hint="eastAsia"/>
                <w:color w:val="000000" w:themeColor="text1"/>
              </w:rPr>
              <w:t xml:space="preserve">、异常状况和可合理预见的紧急情况。 </w:t>
            </w:r>
          </w:p>
          <w:p>
            <w:pPr>
              <w:shd w:val="clear" w:color="auto" w:fill="EBF1DE" w:themeFill="accent3" w:themeFillTint="32"/>
              <w:rPr>
                <w:color w:val="000000" w:themeColor="text1"/>
              </w:rPr>
            </w:pPr>
            <w:r>
              <w:rPr>
                <w:rFonts w:hint="eastAsia"/>
                <w:color w:val="000000" w:themeColor="text1"/>
              </w:rPr>
              <w:t>制订了文件化的评价重要环境因素的准则，重要环境因素已识别，且对它们的重要性和对环境的影响被定期评审和更新。</w:t>
            </w:r>
          </w:p>
          <w:p>
            <w:pPr>
              <w:shd w:val="clear" w:color="auto" w:fill="EBF1DE" w:themeFill="accent3" w:themeFillTint="32"/>
              <w:rPr>
                <w:color w:val="000000" w:themeColor="text1"/>
              </w:rPr>
            </w:pPr>
            <w:r>
              <w:rPr>
                <w:rFonts w:hint="eastAsia"/>
                <w:color w:val="000000" w:themeColor="text1"/>
              </w:rPr>
              <w:t>重要环境因素包括(必要时，按每个场所来描述):</w:t>
            </w:r>
            <w:r>
              <w:rPr>
                <w:color w:val="000000" w:themeColor="text1"/>
              </w:rPr>
              <w:t xml:space="preserve"> </w:t>
            </w:r>
          </w:p>
          <w:p>
            <w:pPr>
              <w:shd w:val="clear" w:color="auto" w:fill="EBF1DE" w:themeFill="accent3" w:themeFillTint="32"/>
              <w:spacing w:before="40" w:after="40"/>
              <w:rPr>
                <w:color w:val="000000" w:themeColor="text1"/>
                <w:highlight w:val="cyan"/>
              </w:rPr>
            </w:pPr>
            <w:r>
              <w:rPr>
                <w:rFonts w:hint="eastAsia"/>
                <w:color w:val="000000" w:themeColor="text1"/>
              </w:rPr>
              <w:t>□能源消耗  □资源消耗 □废水排放  □废气排放 ■粉尘排放  □危废排放 ■噪声排放  ■农药泄漏□压力容器爆炸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000000" w:themeColor="text1"/>
              </w:rPr>
            </w:pPr>
            <w:r>
              <w:rPr>
                <w:color w:val="000000" w:themeColor="text1"/>
              </w:rPr>
              <w:t>组织定期确定并获取</w:t>
            </w:r>
            <w:r>
              <w:rPr>
                <w:rFonts w:hint="eastAsia"/>
                <w:color w:val="000000" w:themeColor="text1"/>
              </w:rPr>
              <w:t>了</w:t>
            </w:r>
            <w:r>
              <w:rPr>
                <w:color w:val="000000" w:themeColor="text1"/>
              </w:rPr>
              <w:t>与其环境因素有关的</w:t>
            </w:r>
            <w:r>
              <w:rPr>
                <w:rFonts w:hint="eastAsia"/>
                <w:color w:val="000000" w:themeColor="text1"/>
              </w:rPr>
              <w:t>文件化的</w:t>
            </w:r>
            <w:r>
              <w:rPr>
                <w:color w:val="000000" w:themeColor="text1"/>
              </w:rPr>
              <w:t>合规义务； 将这些合规义务应用于组织； 在建立、实施、保持和持续改进其环境管理体系时必须考虑这些合规义务。</w:t>
            </w:r>
          </w:p>
          <w:p>
            <w:pPr>
              <w:shd w:val="clear" w:color="auto" w:fill="EBF1DE" w:themeFill="accent3" w:themeFillTint="32"/>
              <w:rPr>
                <w:color w:val="000000" w:themeColor="text1"/>
              </w:rPr>
            </w:pPr>
            <w:r>
              <w:rPr>
                <w:color w:val="000000" w:themeColor="text1"/>
              </w:rPr>
              <w:t>组织</w:t>
            </w:r>
            <w:r>
              <w:rPr>
                <w:rFonts w:hint="eastAsia"/>
                <w:color w:val="000000" w:themeColor="text1"/>
              </w:rPr>
              <w:t>提供了</w:t>
            </w:r>
            <w:r>
              <w:rPr>
                <w:color w:val="000000" w:themeColor="text1"/>
              </w:rPr>
              <w:t>下列许可和授权(必要时，按每个场所来描述):</w:t>
            </w:r>
          </w:p>
          <w:p>
            <w:pPr>
              <w:shd w:val="clear" w:color="auto" w:fill="EBF1DE" w:themeFill="accent3" w:themeFillTint="32"/>
              <w:rPr>
                <w:color w:val="000000" w:themeColor="text1"/>
              </w:rPr>
            </w:pPr>
            <w:r>
              <w:rPr>
                <w:rFonts w:hint="eastAsia"/>
                <w:color w:val="000000" w:themeColor="text1"/>
              </w:rPr>
              <w:t>□安全生产许可证编号：</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 xml:space="preserve">□排污许可证编号： </w:t>
            </w:r>
            <w:r>
              <w:rPr>
                <w:rFonts w:hint="eastAsia"/>
                <w:color w:val="000000" w:themeColor="text1"/>
                <w:u w:val="single"/>
              </w:rPr>
              <w:t xml:space="preserve">                  </w:t>
            </w:r>
          </w:p>
          <w:p>
            <w:pPr>
              <w:shd w:val="clear" w:color="auto" w:fill="EBF1DE" w:themeFill="accent3" w:themeFillTint="32"/>
              <w:rPr>
                <w:color w:val="000000" w:themeColor="text1"/>
              </w:rPr>
            </w:pPr>
            <w:r>
              <w:rPr>
                <w:rFonts w:hint="eastAsia"/>
                <w:color w:val="000000" w:themeColor="text1"/>
              </w:rPr>
              <w:t>□环境影响登记表日期：</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□环境影响报告表日期：</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□环境影响报告书日期：</w:t>
            </w:r>
            <w:r>
              <w:rPr>
                <w:rFonts w:hint="eastAsia"/>
                <w:color w:val="000000" w:themeColor="text1"/>
                <w:u w:val="single"/>
              </w:rPr>
              <w:t xml:space="preserve">                     </w:t>
            </w:r>
            <w:r>
              <w:rPr>
                <w:rFonts w:hint="eastAsia"/>
                <w:color w:val="000000" w:themeColor="text1"/>
              </w:rPr>
              <w:t xml:space="preserve">   </w:t>
            </w:r>
          </w:p>
          <w:p>
            <w:pPr>
              <w:shd w:val="clear" w:color="auto" w:fill="EBF1DE" w:themeFill="accent3" w:themeFillTint="32"/>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shd w:val="clear" w:color="auto" w:fill="EBF1DE" w:themeFill="accent3" w:themeFillTint="32"/>
              <w:rPr>
                <w:color w:val="000000" w:themeColor="text1"/>
                <w:highlight w:val="cyan"/>
              </w:rPr>
            </w:pPr>
            <w:r>
              <w:rPr>
                <w:rFonts w:hint="eastAsia"/>
                <w:color w:val="000000" w:themeColor="text1"/>
              </w:rPr>
              <w:t>□其他</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1"/>
              <w:gridCol w:w="1168"/>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61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68"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481" w:type="dxa"/>
                  <w:shd w:val="clear" w:color="auto" w:fill="auto"/>
                </w:tcPr>
                <w:p>
                  <w:pPr>
                    <w:shd w:val="clear" w:color="auto" w:fill="EBF1DE" w:themeFill="accent3" w:themeFillTint="32"/>
                    <w:rPr>
                      <w:rFonts w:hint="eastAsia"/>
                      <w:color w:val="000000" w:themeColor="text1"/>
                    </w:rPr>
                  </w:pPr>
                  <w:r>
                    <w:rPr>
                      <w:rFonts w:hint="eastAsia"/>
                      <w:color w:val="000000" w:themeColor="text1"/>
                    </w:rPr>
                    <w:t>目标实际完成</w:t>
                  </w:r>
                </w:p>
                <w:p>
                  <w:pPr>
                    <w:pStyle w:val="2"/>
                    <w:rPr>
                      <w:rFonts w:hint="eastAsia" w:eastAsia="宋体"/>
                      <w:color w:val="000000" w:themeColor="text1"/>
                      <w:lang w:eastAsia="zh-CN"/>
                    </w:rPr>
                  </w:pPr>
                  <w:r>
                    <w:rPr>
                      <w:rFonts w:hint="eastAsia" w:ascii="宋体" w:hAnsi="宋体"/>
                      <w:color w:val="000000" w:themeColor="text1"/>
                      <w:lang w:eastAsia="zh-CN"/>
                    </w:rPr>
                    <w:t>（</w:t>
                  </w:r>
                  <w:r>
                    <w:rPr>
                      <w:rFonts w:hint="eastAsia" w:ascii="宋体" w:hAnsi="宋体"/>
                      <w:color w:val="000000" w:themeColor="text1"/>
                      <w:lang w:val="en-US" w:eastAsia="zh-CN"/>
                    </w:rPr>
                    <w:t>2022年7月-12月</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center" w:pos="3169"/>
                    </w:tabs>
                    <w:spacing w:line="400" w:lineRule="exact"/>
                    <w:jc w:val="left"/>
                    <w:rPr>
                      <w:rFonts w:hint="eastAsia" w:ascii="宋体" w:hAnsi="宋体" w:cs="宋体"/>
                      <w:szCs w:val="21"/>
                    </w:rPr>
                  </w:pPr>
                  <w:r>
                    <w:rPr>
                      <w:rFonts w:hint="eastAsia" w:ascii="宋体" w:hAnsi="宋体" w:cs="宋体"/>
                      <w:szCs w:val="21"/>
                    </w:rPr>
                    <w:t>固体废物分类收集、统一回收处置率100%；</w:t>
                  </w:r>
                </w:p>
              </w:tc>
              <w:tc>
                <w:tcPr>
                  <w:tcW w:w="2611"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szCs w:val="21"/>
                    </w:rPr>
                    <w:t>采取分类收集、管理方案进行管理</w:t>
                  </w:r>
                </w:p>
              </w:tc>
              <w:tc>
                <w:tcPr>
                  <w:tcW w:w="1168" w:type="dxa"/>
                  <w:shd w:val="clear" w:color="auto" w:fill="auto"/>
                  <w:vAlign w:val="center"/>
                </w:tcPr>
                <w:p>
                  <w:pPr>
                    <w:shd w:val="clear" w:color="auto" w:fill="EBF1DE" w:themeFill="accent3" w:themeFillTint="32"/>
                  </w:pPr>
                  <w:r>
                    <w:rPr>
                      <w:rFonts w:hint="eastAsia"/>
                    </w:rPr>
                    <w:t>综合部</w:t>
                  </w:r>
                </w:p>
              </w:tc>
              <w:tc>
                <w:tcPr>
                  <w:tcW w:w="2481" w:type="dxa"/>
                  <w:shd w:val="clear" w:color="auto" w:fill="auto"/>
                  <w:vAlign w:val="center"/>
                </w:tcPr>
                <w:p>
                  <w:pPr>
                    <w:shd w:val="clear" w:color="auto" w:fill="EBF1DE" w:themeFill="accent3" w:themeFillTint="32"/>
                    <w:rPr>
                      <w:rFonts w:ascii="宋体" w:hAnsi="宋体"/>
                      <w:color w:val="000000" w:themeColor="text1"/>
                    </w:rPr>
                  </w:pPr>
                  <w:r>
                    <w:rPr>
                      <w:rFonts w:hint="eastAsia" w:ascii="宋体" w:hAnsi="宋体"/>
                      <w:color w:val="000000" w:themeColor="text1"/>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textAlignment w:val="center"/>
                    <w:rPr>
                      <w:sz w:val="22"/>
                      <w:szCs w:val="22"/>
                    </w:rPr>
                  </w:pPr>
                  <w:r>
                    <w:rPr>
                      <w:rFonts w:hint="eastAsia" w:ascii="宋体" w:hAnsi="宋体" w:cs="宋体"/>
                      <w:color w:val="000000"/>
                      <w:kern w:val="0"/>
                      <w:sz w:val="20"/>
                      <w:szCs w:val="20"/>
                      <w:lang w:bidi="ar"/>
                    </w:rPr>
                    <w:t>火灾事故发生率为0</w:t>
                  </w:r>
                </w:p>
              </w:tc>
              <w:tc>
                <w:tcPr>
                  <w:tcW w:w="2611"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szCs w:val="21"/>
                    </w:rPr>
                    <w:t>通过管理方案和预案措施、应急演练进行管理</w:t>
                  </w:r>
                </w:p>
              </w:tc>
              <w:tc>
                <w:tcPr>
                  <w:tcW w:w="1168" w:type="dxa"/>
                  <w:shd w:val="clear" w:color="auto" w:fill="auto"/>
                  <w:vAlign w:val="center"/>
                </w:tcPr>
                <w:p>
                  <w:pPr>
                    <w:shd w:val="clear" w:color="auto" w:fill="EBF1DE" w:themeFill="accent3" w:themeFillTint="32"/>
                  </w:pPr>
                  <w:r>
                    <w:rPr>
                      <w:rFonts w:hint="eastAsia"/>
                    </w:rPr>
                    <w:t>综合部</w:t>
                  </w:r>
                </w:p>
              </w:tc>
              <w:tc>
                <w:tcPr>
                  <w:tcW w:w="2481" w:type="dxa"/>
                  <w:shd w:val="clear" w:color="auto" w:fill="auto"/>
                  <w:vAlign w:val="center"/>
                </w:tcPr>
                <w:p>
                  <w:pPr>
                    <w:shd w:val="clear" w:color="auto" w:fill="EBF1DE" w:themeFill="accent3" w:themeFillTint="32"/>
                    <w:jc w:val="center"/>
                    <w:rPr>
                      <w:rFonts w:ascii="宋体" w:hAnsi="宋体"/>
                      <w:color w:val="000000" w:themeColor="text1"/>
                    </w:rPr>
                  </w:pPr>
                  <w:r>
                    <w:rPr>
                      <w:rFonts w:hint="eastAsia" w:ascii="宋体" w:hAnsi="宋体"/>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r>
                    <w:rPr>
                      <w:rFonts w:hint="eastAsia" w:ascii="宋体" w:hAnsi="宋体" w:cs="宋体"/>
                      <w:szCs w:val="21"/>
                    </w:rPr>
                    <w:t>重大环境污染事故发生率为0</w:t>
                  </w:r>
                </w:p>
              </w:tc>
              <w:tc>
                <w:tcPr>
                  <w:tcW w:w="2611"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szCs w:val="21"/>
                    </w:rPr>
                    <w:t>通过管理方案和预案措施、</w:t>
                  </w:r>
                </w:p>
              </w:tc>
              <w:tc>
                <w:tcPr>
                  <w:tcW w:w="1168" w:type="dxa"/>
                  <w:shd w:val="clear" w:color="auto" w:fill="auto"/>
                  <w:vAlign w:val="center"/>
                </w:tcPr>
                <w:p>
                  <w:pPr>
                    <w:shd w:val="clear" w:color="auto" w:fill="EBF1DE" w:themeFill="accent3" w:themeFillTint="32"/>
                    <w:rPr>
                      <w:rFonts w:ascii="宋体" w:hAnsi="宋体"/>
                    </w:rPr>
                  </w:pPr>
                  <w:r>
                    <w:rPr>
                      <w:rFonts w:hint="eastAsia"/>
                    </w:rPr>
                    <w:t>综合部</w:t>
                  </w:r>
                </w:p>
              </w:tc>
              <w:tc>
                <w:tcPr>
                  <w:tcW w:w="2481" w:type="dxa"/>
                  <w:shd w:val="clear" w:color="auto" w:fill="auto"/>
                  <w:vAlign w:val="center"/>
                </w:tcPr>
                <w:p>
                  <w:pPr>
                    <w:shd w:val="clear" w:color="auto" w:fill="EBF1DE" w:themeFill="accent3" w:themeFillTint="32"/>
                    <w:jc w:val="center"/>
                    <w:rPr>
                      <w:rFonts w:ascii="宋体" w:hAnsi="宋体"/>
                      <w:color w:val="000000" w:themeColor="text1"/>
                    </w:rPr>
                  </w:pPr>
                  <w:r>
                    <w:rPr>
                      <w:rFonts w:hint="eastAsia" w:ascii="宋体" w:hAnsi="宋体"/>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2611" w:type="dxa"/>
                  <w:shd w:val="clear" w:color="auto" w:fill="auto"/>
                  <w:vAlign w:val="center"/>
                </w:tcPr>
                <w:p>
                  <w:pPr>
                    <w:shd w:val="clear" w:color="auto" w:fill="EBF1DE" w:themeFill="accent3" w:themeFillTint="32"/>
                    <w:rPr>
                      <w:rFonts w:ascii="宋体" w:hAnsi="宋体"/>
                    </w:rPr>
                  </w:pPr>
                </w:p>
              </w:tc>
              <w:tc>
                <w:tcPr>
                  <w:tcW w:w="1168" w:type="dxa"/>
                  <w:shd w:val="clear" w:color="auto" w:fill="auto"/>
                  <w:vAlign w:val="center"/>
                </w:tcPr>
                <w:p>
                  <w:pPr>
                    <w:shd w:val="clear" w:color="auto" w:fill="EBF1DE" w:themeFill="accent3" w:themeFillTint="32"/>
                    <w:rPr>
                      <w:rFonts w:ascii="宋体" w:hAnsi="宋体"/>
                    </w:rPr>
                  </w:pPr>
                </w:p>
              </w:tc>
              <w:tc>
                <w:tcPr>
                  <w:tcW w:w="2481" w:type="dxa"/>
                  <w:shd w:val="clear" w:color="auto" w:fill="auto"/>
                  <w:vAlign w:val="center"/>
                </w:tcPr>
                <w:p>
                  <w:pPr>
                    <w:shd w:val="clear" w:color="auto" w:fill="EBF1DE" w:themeFill="accent3" w:themeFillTint="32"/>
                    <w:jc w:val="center"/>
                    <w:rPr>
                      <w:rFonts w:ascii="宋体" w:hAnsi="宋体"/>
                      <w:color w:val="FF0000"/>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办公场所共约200平方米；临时场所1个；库房 1个；实验室   个；</w:t>
            </w:r>
          </w:p>
          <w:p>
            <w:pPr>
              <w:shd w:val="clear" w:color="auto" w:fill="EBF1DE" w:themeFill="accent3" w:themeFillTint="32"/>
              <w:rPr>
                <w:rFonts w:hint="eastAsia" w:eastAsia="宋体"/>
              </w:rPr>
            </w:pPr>
            <w:r>
              <w:rPr>
                <w:rFonts w:hint="eastAsia" w:eastAsia="宋体"/>
              </w:rPr>
              <w:t>主要生产设备有：装载车、工程车、清扫车、垃圾车、街道清扫车、绿篱机、剪草机、喷雾器、高压清洗机、吸水器、单擦机、电脑及办公设备</w:t>
            </w:r>
          </w:p>
          <w:p>
            <w:pPr>
              <w:shd w:val="clear" w:color="auto" w:fill="EBF1DE" w:themeFill="accent3" w:themeFillTint="32"/>
              <w:rPr>
                <w:rFonts w:hint="eastAsia" w:eastAsia="宋体"/>
              </w:rPr>
            </w:pPr>
            <w:r>
              <w:rPr>
                <w:rFonts w:hint="eastAsia" w:eastAsia="宋体"/>
              </w:rPr>
              <w:t xml:space="preserve">主要环保设备有： </w:t>
            </w:r>
          </w:p>
          <w:p>
            <w:pPr>
              <w:shd w:val="clear" w:color="auto" w:fill="EBF1DE" w:themeFill="accent3" w:themeFillTint="32"/>
            </w:pPr>
            <w:r>
              <w:rPr>
                <w:rFonts w:hint="eastAsia" w:eastAsia="宋体"/>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EBF1DE" w:themeFill="accent3" w:themeFillTint="32"/>
            </w:pPr>
            <w:r>
              <w:rPr>
                <w:rFonts w:hint="eastAsia"/>
              </w:rPr>
              <w:t xml:space="preserve">辅助场所：□高压配电室 □低压配电室 □空压站 □锅炉房 □食堂  □危化品库  </w:t>
            </w:r>
          </w:p>
          <w:p>
            <w:pPr>
              <w:shd w:val="clear" w:color="auto" w:fill="EBF1DE" w:themeFill="accent3" w:themeFillTint="32"/>
            </w:pPr>
            <w:r>
              <w:rPr>
                <w:rFonts w:hint="eastAsia"/>
              </w:rPr>
              <w:t>□危废库  □建筑施工 □污水处理站  □其他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环境监测的计量器具有：无</w:t>
            </w:r>
            <w:r>
              <w:rPr>
                <w:rFonts w:hint="eastAsia"/>
                <w:u w:val="single"/>
              </w:rPr>
              <w:t xml:space="preserve">                            </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rPr>
                <w:rFonts w:hint="eastAsia" w:eastAsia="宋体"/>
              </w:rPr>
            </w:pPr>
            <w:r>
              <w:rPr>
                <w:rFonts w:hint="eastAsia" w:eastAsia="宋体"/>
              </w:rPr>
              <w:t>对国家规定持证上岗的人员资质进行了有效的管理。</w:t>
            </w:r>
          </w:p>
          <w:p>
            <w:pPr>
              <w:shd w:val="clear" w:color="auto" w:fill="EBF1DE" w:themeFill="accent3" w:themeFillTint="32"/>
              <w:rPr>
                <w:rFonts w:hint="eastAsia" w:eastAsia="宋体"/>
              </w:rPr>
            </w:pPr>
            <w:r>
              <w:rPr>
                <w:rFonts w:hint="eastAsia" w:eastAsia="宋体"/>
              </w:rPr>
              <w:t>特种作业人员：</w:t>
            </w:r>
            <w:r>
              <w:rPr>
                <w:rFonts w:hint="eastAsia" w:eastAsia="宋体"/>
                <w:lang w:eastAsia="zh-CN"/>
              </w:rPr>
              <w:t>■电工</w:t>
            </w:r>
            <w:r>
              <w:rPr>
                <w:rFonts w:hint="eastAsia" w:eastAsia="宋体"/>
              </w:rPr>
              <w:t xml:space="preserve"> □焊工  □危化品作业  □制冷工   </w:t>
            </w:r>
            <w:r>
              <w:rPr>
                <w:rFonts w:hint="eastAsia"/>
              </w:rPr>
              <w:t>□</w:t>
            </w:r>
            <w:r>
              <w:rPr>
                <w:rFonts w:hint="eastAsia" w:eastAsia="宋体"/>
              </w:rPr>
              <w:t>其他</w:t>
            </w:r>
          </w:p>
          <w:p>
            <w:pPr>
              <w:shd w:val="clear" w:color="auto" w:fill="EBF1DE" w:themeFill="accent3" w:themeFillTint="32"/>
            </w:pPr>
            <w:r>
              <w:rPr>
                <w:rFonts w:hint="eastAsia" w:eastAsia="宋体"/>
              </w:rPr>
              <w:t>特种设备</w:t>
            </w:r>
            <w:r>
              <w:rPr>
                <w:rFonts w:hint="eastAsia"/>
              </w:rPr>
              <w:t>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宋体" w:hAnsi="宋体" w:cs="宋体"/>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宋体" w:hAnsi="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潜在火灾</w:t>
                  </w:r>
                </w:p>
              </w:tc>
              <w:tc>
                <w:tcPr>
                  <w:tcW w:w="4438"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固废排放</w:t>
                  </w:r>
                </w:p>
              </w:tc>
              <w:tc>
                <w:tcPr>
                  <w:tcW w:w="4438" w:type="dxa"/>
                </w:tcPr>
                <w:p>
                  <w:pPr>
                    <w:shd w:val="clear" w:color="auto" w:fill="EBF1DE" w:themeFill="accent3" w:themeFillTint="32"/>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粉尘排放</w:t>
                  </w:r>
                </w:p>
              </w:tc>
              <w:tc>
                <w:tcPr>
                  <w:tcW w:w="4438" w:type="dxa"/>
                </w:tcPr>
                <w:p>
                  <w:pPr>
                    <w:shd w:val="clear" w:color="auto" w:fill="EBF1DE" w:themeFill="accent3" w:themeFillTint="32"/>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000000" w:themeColor="text1"/>
                      <w:szCs w:val="21"/>
                    </w:rPr>
                  </w:pPr>
                  <w:r>
                    <w:rPr>
                      <w:rFonts w:hint="eastAsia" w:asciiTheme="minorEastAsia" w:hAnsiTheme="minorEastAsia" w:eastAsiaTheme="minorEastAsia"/>
                      <w:bCs/>
                      <w:iCs/>
                      <w:color w:val="000000" w:themeColor="text1"/>
                      <w:szCs w:val="21"/>
                    </w:rPr>
                    <w:t>噪声排放</w:t>
                  </w:r>
                </w:p>
              </w:tc>
              <w:tc>
                <w:tcPr>
                  <w:tcW w:w="4438" w:type="dxa"/>
                </w:tcPr>
                <w:p>
                  <w:pPr>
                    <w:shd w:val="clear" w:color="auto" w:fill="EBF1DE" w:themeFill="accent3" w:themeFillTint="32"/>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asciiTheme="minorEastAsia" w:hAnsiTheme="minorEastAsia" w:eastAsiaTheme="minorEastAsia"/>
                      <w:bCs/>
                      <w:iCs/>
                      <w:color w:val="000000" w:themeColor="text1"/>
                      <w:szCs w:val="21"/>
                    </w:rPr>
                  </w:pPr>
                  <w:r>
                    <w:rPr>
                      <w:rFonts w:hint="eastAsia" w:asciiTheme="minorEastAsia" w:hAnsiTheme="minorEastAsia" w:eastAsiaTheme="minorEastAsia"/>
                      <w:bCs/>
                      <w:iCs/>
                      <w:color w:val="000000" w:themeColor="text1"/>
                      <w:szCs w:val="21"/>
                    </w:rPr>
                    <w:t>农药泄漏</w:t>
                  </w:r>
                </w:p>
              </w:tc>
              <w:tc>
                <w:tcPr>
                  <w:tcW w:w="4438" w:type="dxa"/>
                </w:tcPr>
                <w:p>
                  <w:pPr>
                    <w:shd w:val="clear" w:color="auto" w:fill="EBF1DE" w:themeFill="accent3" w:themeFillTint="32"/>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bl>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color w:val="000000" w:themeColor="text1"/>
              </w:rPr>
            </w:pPr>
            <w:r>
              <w:rPr>
                <w:rFonts w:hint="eastAsia"/>
              </w:rPr>
              <w:t>组织对生产设备</w:t>
            </w:r>
            <w:r>
              <w:rPr>
                <w:rFonts w:hint="eastAsia"/>
                <w:color w:val="000000" w:themeColor="text1"/>
              </w:rPr>
              <w:t>、环保设备、特种设备制订了计划进行了定期的检查、保养和维修；运行完好</w:t>
            </w:r>
          </w:p>
          <w:p>
            <w:pPr>
              <w:shd w:val="clear" w:color="auto" w:fill="EBF1DE" w:themeFill="accent3" w:themeFillTint="32"/>
              <w:rPr>
                <w:u w:val="single"/>
              </w:rPr>
            </w:pPr>
            <w:r>
              <w:rPr>
                <w:rFonts w:hint="eastAsia"/>
                <w:color w:val="000000" w:themeColor="text1"/>
              </w:rPr>
              <w:t>特种设备管理：□进</w:t>
            </w:r>
            <w:r>
              <w:rPr>
                <w:rFonts w:hint="eastAsia"/>
              </w:rPr>
              <w:t xml:space="preserve">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rPr>
                <w:rFonts w:hint="eastAsia"/>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color w:val="000000" w:themeColor="text1"/>
                <w:u w:val="single"/>
              </w:rPr>
              <w:t>于</w:t>
            </w:r>
            <w:r>
              <w:rPr>
                <w:rFonts w:hint="eastAsia"/>
                <w:color w:val="000000" w:themeColor="text1"/>
                <w:u w:val="single"/>
                <w:lang w:eastAsia="zh-CN"/>
              </w:rPr>
              <w:t>2022年9月6日</w:t>
            </w:r>
            <w:r>
              <w:rPr>
                <w:rFonts w:hint="eastAsia"/>
                <w:color w:val="000000" w:themeColor="text1"/>
                <w:u w:val="single"/>
              </w:rPr>
              <w:t>进行了消防</w:t>
            </w:r>
            <w:r>
              <w:rPr>
                <w:rFonts w:hint="eastAsia"/>
                <w:color w:val="000000"/>
                <w:u w:val="single"/>
              </w:rPr>
              <w:t>火灾演练</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color w:val="000000" w:themeColor="text1"/>
              </w:rPr>
            </w:pPr>
            <w:r>
              <w:rPr>
                <w:rFonts w:hint="eastAsia"/>
              </w:rPr>
              <w:t>组织已分析和评价通过监视</w:t>
            </w:r>
            <w:r>
              <w:rPr>
                <w:rFonts w:hint="eastAsia"/>
                <w:color w:val="000000" w:themeColor="text1"/>
              </w:rPr>
              <w:t>和测量获得的适当的数据和信息。</w:t>
            </w:r>
          </w:p>
          <w:p>
            <w:pPr>
              <w:shd w:val="clear" w:color="auto" w:fill="EBF1DE" w:themeFill="accent3" w:themeFillTint="32"/>
              <w:rPr>
                <w:color w:val="000000" w:themeColor="text1"/>
              </w:rPr>
            </w:pPr>
            <w:r>
              <w:rPr>
                <w:rFonts w:hint="eastAsia"/>
                <w:color w:val="000000" w:themeColor="text1"/>
              </w:rPr>
              <w:t>组织已建立、实施并保持评价其合规义务履行情况所需的过程。</w:t>
            </w:r>
          </w:p>
          <w:p>
            <w:pPr>
              <w:shd w:val="clear" w:color="auto" w:fill="EBF1DE" w:themeFill="accent3" w:themeFillTint="32"/>
              <w:rPr>
                <w:color w:val="000000" w:themeColor="text1"/>
              </w:rPr>
            </w:pPr>
            <w:r>
              <w:rPr>
                <w:rFonts w:hint="eastAsia"/>
                <w:color w:val="000000" w:themeColor="text1"/>
              </w:rPr>
              <w:t>实施合规性评价的时间：</w:t>
            </w:r>
          </w:p>
          <w:p>
            <w:pPr>
              <w:shd w:val="clear" w:color="auto" w:fill="EBF1DE" w:themeFill="accent3" w:themeFillTint="32"/>
              <w:rPr>
                <w:rFonts w:hint="eastAsia" w:eastAsia="宋体"/>
                <w:color w:val="000000" w:themeColor="text1"/>
                <w:lang w:eastAsia="zh-CN"/>
              </w:rPr>
            </w:pPr>
            <w:r>
              <w:rPr>
                <w:rFonts w:hint="eastAsia" w:ascii="宋体" w:hAnsi="宋体" w:eastAsia="宋体" w:cs="宋体"/>
              </w:rPr>
              <w:t>■</w:t>
            </w:r>
            <w:r>
              <w:rPr>
                <w:rFonts w:hint="eastAsia"/>
                <w:color w:val="000000" w:themeColor="text1"/>
              </w:rPr>
              <w:t>定期（每年） ：</w:t>
            </w:r>
            <w:r>
              <w:rPr>
                <w:rFonts w:hint="eastAsia"/>
                <w:color w:val="000000" w:themeColor="text1"/>
                <w:u w:val="single"/>
                <w:lang w:eastAsia="zh-CN"/>
              </w:rPr>
              <w:t>2022年12月4日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rPr>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2023年1月5日-6日</w:t>
            </w:r>
            <w:r>
              <w:rPr>
                <w:rFonts w:hint="eastAsia"/>
                <w:color w:val="000000" w:themeColor="text1"/>
              </w:rPr>
              <w:t xml:space="preserve">实施了环境管理体系内部审核，对环境管理体系的符合性和有效性进行了审核。内审发现的 </w:t>
            </w:r>
            <w:r>
              <w:rPr>
                <w:rFonts w:hint="eastAsia"/>
                <w:color w:val="000000" w:themeColor="text1"/>
                <w:u w:val="single"/>
                <w:lang w:val="en-US" w:eastAsia="zh-CN"/>
              </w:rPr>
              <w:t>1</w:t>
            </w:r>
            <w:r>
              <w:rPr>
                <w:rFonts w:hint="eastAsia"/>
                <w:color w:val="000000" w:themeColor="text1"/>
              </w:rPr>
              <w:t>项不符合</w:t>
            </w:r>
            <w:r>
              <w:rPr>
                <w:rFonts w:hint="eastAsia"/>
              </w:rPr>
              <w:t>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rPr>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eastAsia="zh-CN"/>
              </w:rPr>
              <w:t>2023年2月15日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4.2</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color w:val="000000" w:themeColor="text1"/>
              </w:rPr>
            </w:pPr>
            <w:r>
              <w:rPr>
                <w:rFonts w:hint="eastAsia"/>
                <w:color w:val="000000" w:themeColor="text1"/>
              </w:rPr>
              <w:t>1</w:t>
            </w:r>
          </w:p>
        </w:tc>
        <w:tc>
          <w:tcPr>
            <w:tcW w:w="780" w:type="dxa"/>
            <w:shd w:val="clear" w:color="auto" w:fill="EBF1DE" w:themeFill="accent3" w:themeFillTint="32"/>
          </w:tcPr>
          <w:p>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7.5</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eastAsia="zh-CN"/>
              </w:rPr>
            </w:pPr>
            <w:r>
              <w:rPr>
                <w:rFonts w:hint="eastAsia"/>
                <w:color w:val="000000" w:themeColor="text1"/>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eastAsia="zh-CN"/>
              </w:rPr>
            </w:pPr>
            <w:r>
              <w:rPr>
                <w:rFonts w:hint="eastAsia"/>
                <w:color w:val="000000" w:themeColor="text1"/>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eastAsia="zh-CN"/>
              </w:rPr>
            </w:pPr>
            <w:r>
              <w:rPr>
                <w:rFonts w:hint="eastAsia"/>
                <w:color w:val="000000" w:themeColor="text1"/>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eastAsia="zh-CN"/>
              </w:rPr>
            </w:pPr>
            <w:r>
              <w:rPr>
                <w:rFonts w:hint="eastAsia"/>
                <w:color w:val="000000" w:themeColor="text1"/>
                <w:lang w:val="en-US" w:eastAsia="zh-CN"/>
              </w:rPr>
              <w:t>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eastAsia="zh-CN"/>
              </w:rPr>
            </w:pPr>
            <w:r>
              <w:rPr>
                <w:rFonts w:hint="eastAsia"/>
                <w:color w:val="000000" w:themeColor="text1"/>
                <w:lang w:val="en-US" w:eastAsia="zh-CN"/>
              </w:rPr>
              <w:t>3</w:t>
            </w:r>
          </w:p>
        </w:tc>
        <w:tc>
          <w:tcPr>
            <w:tcW w:w="780" w:type="dxa"/>
            <w:shd w:val="clear" w:color="auto" w:fill="EBF1DE" w:themeFill="accent3" w:themeFillTint="32"/>
            <w:vAlign w:val="center"/>
          </w:tcPr>
          <w:p>
            <w:pPr>
              <w:shd w:val="clear" w:color="auto" w:fill="EBF1DE" w:themeFill="accent3" w:themeFillTint="32"/>
              <w:rPr>
                <w:rFonts w:hint="default"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color w:val="000000" w:themeColor="text1"/>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rPr>
            </w:pPr>
            <w:r>
              <w:rPr>
                <w:rFonts w:hint="eastAsia"/>
                <w:color w:val="000000" w:themeColor="text1"/>
              </w:rPr>
              <w:t>1</w:t>
            </w:r>
          </w:p>
        </w:tc>
        <w:tc>
          <w:tcPr>
            <w:tcW w:w="780" w:type="dxa"/>
            <w:shd w:val="clear" w:color="auto" w:fill="EBF1DE" w:themeFill="accent3" w:themeFillTint="32"/>
            <w:vAlign w:val="center"/>
          </w:tcPr>
          <w:p>
            <w:pPr>
              <w:shd w:val="clear" w:color="auto" w:fill="EBF1DE" w:themeFill="accent3" w:themeFillTint="32"/>
              <w:rPr>
                <w:color w:val="000000" w:themeColor="text1"/>
              </w:rPr>
            </w:pPr>
            <w:r>
              <w:rPr>
                <w:rFonts w:hint="eastAsia"/>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:无</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ascii="宋体" w:hAnsi="宋体" w:cs="宋体"/>
                <w:b/>
                <w:bCs/>
                <w:szCs w:val="21"/>
              </w:rPr>
            </w:pPr>
            <w:r>
              <w:rPr>
                <w:rFonts w:hint="eastAsia"/>
              </w:rPr>
              <w:t>最高管理者制定了文件化的职业健康安全管理体系方针：</w:t>
            </w:r>
            <w:r>
              <w:rPr>
                <w:rFonts w:hint="eastAsia" w:ascii="宋体" w:hAnsi="宋体" w:cs="宋体"/>
                <w:b/>
                <w:bCs/>
                <w:szCs w:val="21"/>
              </w:rPr>
              <w:t>诚信经营、打造精品、持续改进、提升管理、遵纪守法、减少污染、安全生产、和谐社会</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pPr>
              <w:rPr>
                <w:rFonts w:hint="eastAsia"/>
              </w:rPr>
            </w:pPr>
            <w:r>
              <w:rPr>
                <w:rFonts w:hint="eastAsia"/>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olor w:val="000000" w:themeColor="text1"/>
              </w:rPr>
            </w:pPr>
            <w:r>
              <w:rPr>
                <w:rFonts w:hint="eastAsia"/>
              </w:rPr>
              <w:t>组织建立了参与和协商的机制，由所有相关层次和职能部门的员工和员工代表参与（包括协商）建立、策划、</w:t>
            </w:r>
            <w:r>
              <w:rPr>
                <w:rFonts w:hint="eastAsia"/>
                <w:color w:val="000000" w:themeColor="text1"/>
              </w:rPr>
              <w:t>实施、评价和改进职业健康安全管理体系。</w:t>
            </w:r>
          </w:p>
          <w:p>
            <w:r>
              <w:rPr>
                <w:rFonts w:hint="eastAsia"/>
                <w:color w:val="000000" w:themeColor="text1"/>
              </w:rPr>
              <w:t>员工代表是——</w:t>
            </w:r>
            <w:r>
              <w:rPr>
                <w:rFonts w:hint="eastAsia" w:ascii="宋体" w:hAnsi="宋体" w:cs="宋体"/>
                <w:color w:val="000000" w:themeColor="text1"/>
                <w:szCs w:val="21"/>
              </w:rPr>
              <w:t>苏方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widowControl/>
                    <w:spacing w:before="40"/>
                    <w:jc w:val="left"/>
                    <w:rPr>
                      <w:color w:val="000000"/>
                      <w:szCs w:val="18"/>
                    </w:rPr>
                  </w:pPr>
                  <w:r>
                    <w:rPr>
                      <w:rFonts w:hint="eastAsia"/>
                      <w:color w:val="000000"/>
                      <w:szCs w:val="18"/>
                    </w:rPr>
                    <w:t>火灾</w:t>
                  </w:r>
                </w:p>
              </w:tc>
              <w:tc>
                <w:tcPr>
                  <w:tcW w:w="4518"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widowControl/>
                    <w:spacing w:before="40"/>
                    <w:jc w:val="left"/>
                    <w:rPr>
                      <w:color w:val="000000"/>
                      <w:szCs w:val="18"/>
                    </w:rPr>
                  </w:pPr>
                  <w:r>
                    <w:rPr>
                      <w:rFonts w:hint="eastAsia"/>
                    </w:rPr>
                    <w:t>意外伤害</w:t>
                  </w:r>
                  <w:r>
                    <w:rPr>
                      <w:rFonts w:hint="eastAsia" w:ascii="宋体" w:hAnsi="宋体"/>
                      <w:szCs w:val="21"/>
                    </w:rPr>
                    <w:t>（触电、机械伤害、物体打击、中毒、中暑、车辆伤害等</w:t>
                  </w:r>
                </w:p>
              </w:tc>
              <w:tc>
                <w:tcPr>
                  <w:tcW w:w="4518"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 □粉尘  □危险作业 □高低温  □危化品泄露 □压力容器爆炸  ■火灾  ■其他：</w:t>
            </w:r>
            <w:r>
              <w:rPr>
                <w:rFonts w:hint="eastAsia" w:ascii="宋体" w:hAnsi="宋体"/>
                <w:szCs w:val="21"/>
              </w:rPr>
              <w:t>物体打击、中毒、中暑、车辆伤害等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color w:val="000000" w:themeColor="text1"/>
              </w:rPr>
              <w:t>组织定期确定并获</w:t>
            </w:r>
            <w:r>
              <w:t>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rPr>
                  </w:pPr>
                  <w:r>
                    <w:rPr>
                      <w:rFonts w:hint="eastAsia"/>
                    </w:rPr>
                    <w:t>职业健康安全</w:t>
                  </w:r>
                  <w:r>
                    <w:rPr>
                      <w:rFonts w:hint="eastAsia" w:ascii="宋体" w:hAnsi="宋体"/>
                    </w:rPr>
                    <w:t>目标</w:t>
                  </w:r>
                </w:p>
              </w:tc>
              <w:tc>
                <w:tcPr>
                  <w:tcW w:w="3464" w:type="dxa"/>
                  <w:shd w:val="clear" w:color="auto" w:fill="auto"/>
                </w:tcPr>
                <w:p>
                  <w:pPr>
                    <w:rPr>
                      <w:rFonts w:ascii="宋体" w:hAnsi="宋体"/>
                    </w:rPr>
                  </w:pPr>
                  <w:r>
                    <w:rPr>
                      <w:rFonts w:hint="eastAsia" w:ascii="宋体" w:hAnsi="宋体"/>
                    </w:rPr>
                    <w:t>控制措施</w:t>
                  </w:r>
                </w:p>
              </w:tc>
              <w:tc>
                <w:tcPr>
                  <w:tcW w:w="1020" w:type="dxa"/>
                  <w:shd w:val="clear" w:color="auto" w:fill="auto"/>
                </w:tcPr>
                <w:p>
                  <w:pPr>
                    <w:rPr>
                      <w:rFonts w:ascii="宋体" w:hAnsi="宋体"/>
                    </w:rPr>
                  </w:pPr>
                  <w:r>
                    <w:rPr>
                      <w:rFonts w:hint="eastAsia" w:ascii="宋体" w:hAnsi="宋体"/>
                    </w:rPr>
                    <w:t>责任部门</w:t>
                  </w:r>
                </w:p>
              </w:tc>
              <w:tc>
                <w:tcPr>
                  <w:tcW w:w="15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jc w:val="left"/>
                    <w:textAlignment w:val="center"/>
                    <w:rPr>
                      <w:rFonts w:asciiTheme="minorEastAsia" w:hAnsiTheme="minorEastAsia" w:eastAsiaTheme="minorEastAsia"/>
                      <w:color w:val="FF0000"/>
                      <w:szCs w:val="21"/>
                    </w:rPr>
                  </w:pPr>
                  <w:r>
                    <w:rPr>
                      <w:rFonts w:hint="eastAsia" w:ascii="宋体" w:hAnsi="宋体" w:cs="宋体"/>
                      <w:color w:val="000000"/>
                      <w:kern w:val="0"/>
                      <w:sz w:val="20"/>
                      <w:szCs w:val="20"/>
                      <w:lang w:bidi="ar"/>
                    </w:rPr>
                    <w:t>火灾事故发生率为0</w:t>
                  </w:r>
                </w:p>
              </w:tc>
              <w:tc>
                <w:tcPr>
                  <w:tcW w:w="3464" w:type="dxa"/>
                  <w:shd w:val="clear" w:color="auto" w:fill="auto"/>
                  <w:vAlign w:val="center"/>
                </w:tcPr>
                <w:p>
                  <w:pPr>
                    <w:rPr>
                      <w:rFonts w:asciiTheme="minorEastAsia" w:hAnsiTheme="minorEastAsia" w:eastAsiaTheme="minorEastAsia"/>
                      <w:szCs w:val="21"/>
                      <w:lang w:val="en-GB"/>
                    </w:rPr>
                  </w:pPr>
                  <w:r>
                    <w:rPr>
                      <w:rFonts w:hint="eastAsia" w:asciiTheme="minorEastAsia" w:hAnsiTheme="minorEastAsia" w:eastAsiaTheme="minorEastAsia"/>
                      <w:szCs w:val="21"/>
                    </w:rPr>
                    <w:t>通过管理方案和预案措施、应急演练进行管理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jc w:val="left"/>
                    <w:textAlignment w:val="center"/>
                    <w:rPr>
                      <w:rFonts w:asciiTheme="minorEastAsia" w:hAnsiTheme="minorEastAsia" w:eastAsiaTheme="minorEastAsia"/>
                      <w:color w:val="FF0000"/>
                      <w:szCs w:val="21"/>
                    </w:rPr>
                  </w:pPr>
                  <w:r>
                    <w:rPr>
                      <w:rFonts w:hint="eastAsia" w:ascii="宋体" w:hAnsi="宋体" w:cs="宋体"/>
                      <w:szCs w:val="21"/>
                    </w:rPr>
                    <w:t>杜绝人身死亡事故、重大设备伤害事故</w:t>
                  </w:r>
                </w:p>
              </w:tc>
              <w:tc>
                <w:tcPr>
                  <w:tcW w:w="3464" w:type="dxa"/>
                  <w:shd w:val="clear" w:color="auto" w:fill="auto"/>
                  <w:vAlign w:val="center"/>
                </w:tcPr>
                <w:p>
                  <w:r>
                    <w:rPr>
                      <w:rFonts w:hint="eastAsia"/>
                    </w:rPr>
                    <w:t>通过管理方案和预案措施进行管理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ind w:firstLine="630" w:firstLineChars="300"/>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tabs>
                      <w:tab w:val="center" w:pos="3169"/>
                    </w:tabs>
                    <w:spacing w:line="400" w:lineRule="exact"/>
                    <w:jc w:val="left"/>
                    <w:rPr>
                      <w:rFonts w:hint="eastAsia" w:ascii="宋体" w:hAnsi="宋体" w:cs="宋体"/>
                      <w:szCs w:val="21"/>
                    </w:rPr>
                  </w:pPr>
                  <w:r>
                    <w:rPr>
                      <w:rFonts w:hint="eastAsia" w:ascii="宋体" w:hAnsi="宋体" w:cs="宋体"/>
                      <w:szCs w:val="21"/>
                    </w:rPr>
                    <w:t>员工工伤率≤3%。</w:t>
                  </w:r>
                </w:p>
              </w:tc>
              <w:tc>
                <w:tcPr>
                  <w:tcW w:w="3464" w:type="dxa"/>
                  <w:shd w:val="clear" w:color="auto" w:fill="auto"/>
                  <w:vAlign w:val="center"/>
                </w:tcPr>
                <w:p>
                  <w:pPr>
                    <w:rPr>
                      <w:rFonts w:asciiTheme="minorEastAsia" w:hAnsiTheme="minorEastAsia" w:eastAsiaTheme="minorEastAsia"/>
                      <w:szCs w:val="21"/>
                    </w:rPr>
                  </w:pPr>
                  <w:r>
                    <w:rPr>
                      <w:rFonts w:hint="eastAsia"/>
                    </w:rPr>
                    <w:t>通过管理方案和预案措施进行管理</w:t>
                  </w:r>
                </w:p>
              </w:tc>
              <w:tc>
                <w:tcPr>
                  <w:tcW w:w="1020" w:type="dxa"/>
                  <w:shd w:val="clear" w:color="auto" w:fill="auto"/>
                  <w:vAlign w:val="center"/>
                </w:tcPr>
                <w:p>
                  <w:pPr>
                    <w:rPr>
                      <w:rFonts w:ascii="宋体" w:hAnsi="宋体"/>
                    </w:rPr>
                  </w:pPr>
                  <w:r>
                    <w:rPr>
                      <w:rFonts w:hint="eastAsia"/>
                    </w:rPr>
                    <w:t>各部门</w:t>
                  </w:r>
                </w:p>
              </w:tc>
              <w:tc>
                <w:tcPr>
                  <w:tcW w:w="1547" w:type="dxa"/>
                  <w:shd w:val="clear" w:color="auto" w:fill="auto"/>
                  <w:vAlign w:val="center"/>
                </w:tcPr>
                <w:p>
                  <w:pPr>
                    <w:jc w:val="center"/>
                    <w:rPr>
                      <w:rFonts w:ascii="宋体" w:hAnsi="宋体"/>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464" w:type="dxa"/>
                  <w:shd w:val="clear" w:color="auto" w:fill="auto"/>
                  <w:vAlign w:val="center"/>
                </w:tcPr>
                <w:p>
                  <w:pPr>
                    <w:rPr>
                      <w:rFonts w:asciiTheme="minorEastAsia" w:hAnsiTheme="minorEastAsia" w:eastAsiaTheme="minorEastAsia"/>
                      <w:szCs w:val="21"/>
                    </w:rPr>
                  </w:pPr>
                </w:p>
              </w:tc>
              <w:tc>
                <w:tcPr>
                  <w:tcW w:w="1020" w:type="dxa"/>
                  <w:shd w:val="clear" w:color="auto" w:fill="auto"/>
                  <w:vAlign w:val="center"/>
                </w:tcPr>
                <w:p>
                  <w:pPr>
                    <w:rPr>
                      <w:rFonts w:ascii="宋体" w:hAnsi="宋体"/>
                    </w:rPr>
                  </w:pPr>
                </w:p>
              </w:tc>
              <w:tc>
                <w:tcPr>
                  <w:tcW w:w="1547"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rPr>
              <w:t>组织应</w:t>
            </w:r>
            <w:r>
              <w:rPr>
                <w:rFonts w:hint="eastAsia" w:eastAsia="宋体"/>
              </w:rPr>
              <w:t>确定、提供并维护所需的基础设施情况：</w:t>
            </w:r>
          </w:p>
          <w:p>
            <w:pPr>
              <w:rPr>
                <w:rFonts w:hint="eastAsia" w:eastAsia="宋体"/>
              </w:rPr>
            </w:pPr>
            <w:r>
              <w:rPr>
                <w:rFonts w:hint="eastAsia" w:eastAsia="宋体"/>
              </w:rPr>
              <w:t>办公场所共约200平方米；临时场所1个；库房 1个；实验室   个；</w:t>
            </w:r>
          </w:p>
          <w:p>
            <w:pPr>
              <w:rPr>
                <w:rFonts w:hint="eastAsia" w:eastAsia="宋体"/>
                <w:u w:val="single"/>
              </w:rPr>
            </w:pPr>
            <w:r>
              <w:rPr>
                <w:rFonts w:hint="eastAsia" w:eastAsia="宋体"/>
              </w:rPr>
              <w:t>主要生产设备有：</w:t>
            </w:r>
            <w:r>
              <w:rPr>
                <w:rFonts w:hint="eastAsia" w:eastAsia="宋体"/>
                <w:u w:val="single"/>
              </w:rPr>
              <w:t>装载车、工程车、清扫车、垃圾车、街道清扫车、绿篱机、剪草机、喷雾器、高压清洗机、吸水器、单擦机、电脑及办公设备</w:t>
            </w:r>
          </w:p>
          <w:p>
            <w:pPr>
              <w:rPr>
                <w:rFonts w:hint="eastAsia" w:eastAsia="宋体"/>
              </w:rPr>
            </w:pPr>
            <w:r>
              <w:rPr>
                <w:rFonts w:hint="eastAsia" w:eastAsia="宋体"/>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消防设施  </w:t>
            </w:r>
            <w:r>
              <w:rPr>
                <w:rFonts w:hint="eastAsia" w:ascii="Wingdings" w:hAnsi="Wingdings"/>
              </w:rPr>
              <w:t>□</w:t>
            </w:r>
            <w:r>
              <w:rPr>
                <w:rFonts w:hint="eastAsia"/>
              </w:rPr>
              <w:t xml:space="preserve">不适用 </w:t>
            </w:r>
          </w:p>
          <w:p>
            <w:pPr>
              <w:rPr>
                <w:color w:val="000000" w:themeColor="text1"/>
                <w:u w:val="single"/>
              </w:rPr>
            </w:pPr>
          </w:p>
          <w:p>
            <w:pPr>
              <w:rPr>
                <w:color w:val="000000" w:themeColor="text1"/>
              </w:rPr>
            </w:pPr>
            <w:r>
              <w:rPr>
                <w:rFonts w:hint="eastAsia"/>
                <w:color w:val="000000" w:themeColor="text1"/>
              </w:rPr>
              <w:t>特种设备：</w:t>
            </w:r>
            <w:r>
              <w:rPr>
                <w:rFonts w:hint="eastAsia"/>
                <w:color w:val="000000" w:themeColor="text1"/>
                <w:u w:val="single"/>
              </w:rPr>
              <w:t xml:space="preserve"> 无 </w:t>
            </w:r>
            <w:r>
              <w:rPr>
                <w:rFonts w:hint="eastAsia"/>
                <w:color w:val="000000" w:themeColor="text1"/>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rPr>
            </w:pPr>
            <w:r>
              <w:rPr>
                <w:rFonts w:hint="eastAsia"/>
              </w:rPr>
              <w:t>通过 ■招聘 □换岗 ■培训  ■考核   □辅导  □其他</w:t>
            </w:r>
          </w:p>
          <w:p>
            <w:pPr>
              <w:rPr>
                <w:rFonts w:hint="eastAsia" w:eastAsia="宋体"/>
              </w:rPr>
            </w:pPr>
            <w:r>
              <w:rPr>
                <w:rFonts w:hint="eastAsia"/>
              </w:rPr>
              <w:t>对国</w:t>
            </w:r>
            <w:r>
              <w:rPr>
                <w:rFonts w:hint="eastAsia" w:eastAsia="宋体"/>
              </w:rPr>
              <w:t>家规定持证上岗的人员资质进行了有效的管理。</w:t>
            </w:r>
          </w:p>
          <w:p>
            <w:pPr>
              <w:rPr>
                <w:rFonts w:hint="eastAsia" w:eastAsia="宋体"/>
              </w:rPr>
            </w:pPr>
            <w:r>
              <w:rPr>
                <w:rFonts w:hint="eastAsia" w:eastAsia="宋体"/>
              </w:rPr>
              <w:t>特种作业人员：</w:t>
            </w:r>
            <w:r>
              <w:rPr>
                <w:rFonts w:hint="eastAsia" w:eastAsia="宋体"/>
                <w:lang w:eastAsia="zh-CN"/>
              </w:rPr>
              <w:t>■电工</w:t>
            </w:r>
            <w:r>
              <w:rPr>
                <w:rFonts w:hint="eastAsia" w:eastAsia="宋体"/>
              </w:rPr>
              <w:t xml:space="preserve"> □焊工  □危化品作业  □制冷工   □其他：园林工程师、花卉园艺工/师证、绿化工  </w:t>
            </w:r>
          </w:p>
          <w:p>
            <w:r>
              <w:rPr>
                <w:rFonts w:hint="eastAsia" w:eastAsia="宋体"/>
              </w:rPr>
              <w:t>特种</w:t>
            </w:r>
            <w:r>
              <w:rPr>
                <w:rFonts w:hint="eastAsia"/>
              </w:rPr>
              <w:t xml:space="preserve">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 □委托加工  □建筑施工 □设备维保  □运输  □其他：</w:t>
            </w:r>
            <w: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安全装置、防护措施 安全教育、定期检查</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中毒</w:t>
                  </w:r>
                </w:p>
              </w:tc>
              <w:tc>
                <w:tcPr>
                  <w:tcW w:w="4957" w:type="dxa"/>
                </w:tcPr>
                <w:p>
                  <w:pPr>
                    <w:jc w:val="left"/>
                  </w:pPr>
                  <w:r>
                    <w:rPr>
                      <w:rFonts w:hint="eastAsia"/>
                    </w:rPr>
                    <w:t>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物体打击</w:t>
                  </w:r>
                </w:p>
              </w:tc>
              <w:tc>
                <w:tcPr>
                  <w:tcW w:w="4957" w:type="dxa"/>
                </w:tcPr>
                <w:p>
                  <w:pPr>
                    <w:jc w:val="left"/>
                  </w:pPr>
                  <w:r>
                    <w:rPr>
                      <w:rFonts w:hint="eastAsia"/>
                    </w:rPr>
                    <w:t>安全教育、定期检查、穿戴劳保用品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车辆伤害</w:t>
                  </w:r>
                </w:p>
              </w:tc>
              <w:tc>
                <w:tcPr>
                  <w:tcW w:w="4957" w:type="dxa"/>
                </w:tcPr>
                <w:p>
                  <w:pPr>
                    <w:jc w:val="left"/>
                  </w:pPr>
                  <w:r>
                    <w:rPr>
                      <w:rFonts w:hint="eastAsia"/>
                    </w:rPr>
                    <w:t>安全教育</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中暑</w:t>
                  </w:r>
                </w:p>
              </w:tc>
              <w:tc>
                <w:tcPr>
                  <w:tcW w:w="4957" w:type="dxa"/>
                </w:tcPr>
                <w:p>
                  <w:pPr>
                    <w:jc w:val="left"/>
                  </w:pPr>
                  <w:r>
                    <w:rPr>
                      <w:rFonts w:hint="eastAsia"/>
                    </w:rPr>
                    <w:t>减少作业时间、空间隔离、防暑降温用品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bl>
          <w:p>
            <w:pPr>
              <w:jc w:val="left"/>
              <w:rPr>
                <w:rFonts w:hint="eastAsia"/>
              </w:rPr>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color w:val="000000" w:themeColor="text1"/>
              </w:rPr>
            </w:pPr>
            <w:r>
              <w:rPr>
                <w:rFonts w:hint="eastAsia"/>
              </w:rPr>
              <w:t>组织对生产设</w:t>
            </w:r>
            <w:r>
              <w:rPr>
                <w:rFonts w:hint="eastAsia"/>
                <w:color w:val="000000" w:themeColor="text1"/>
              </w:rPr>
              <w:t>备、安全装置、特种设备制订了计划进行了定期的检查、保养和维修；运行完好</w:t>
            </w:r>
          </w:p>
          <w:p>
            <w:pPr>
              <w:rPr>
                <w:color w:val="000000" w:themeColor="text1"/>
              </w:rPr>
            </w:pPr>
            <w:r>
              <w:rPr>
                <w:rFonts w:hint="eastAsia"/>
                <w:color w:val="000000" w:themeColor="text1"/>
              </w:rPr>
              <w:t xml:space="preserve">安全装置检查：□进行了定期检查  □未进行定期检查的有：                 </w:t>
            </w:r>
          </w:p>
          <w:p>
            <w:r>
              <w:rPr>
                <w:rFonts w:hint="eastAsia"/>
                <w:color w:val="000000" w:themeColor="text1"/>
              </w:rPr>
              <w:t>特种设备管理：□进行了</w:t>
            </w:r>
            <w:r>
              <w:rPr>
                <w:rFonts w:hint="eastAsia"/>
              </w:rPr>
              <w:t xml:space="preserve">定期检验  □未进行定期检验的有：                 </w:t>
            </w:r>
          </w:p>
          <w:p>
            <w:r>
              <w:rPr>
                <w:rFonts w:hint="eastAsia"/>
              </w:rPr>
              <w:t>特种设备检测报告，如：</w:t>
            </w:r>
            <w:r>
              <w:rPr>
                <w:rFonts w:hint="eastAsia"/>
                <w:u w:val="single"/>
              </w:rPr>
              <w:t xml:space="preserve">  见附件</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rPr>
                <w:color w:val="000000" w:themeColor="text1"/>
              </w:rPr>
            </w:pPr>
            <w:r>
              <w:rPr>
                <w:rFonts w:hint="eastAsia"/>
              </w:rPr>
              <w:t>审核周期内发生过紧急情况</w:t>
            </w:r>
            <w:r>
              <w:rPr>
                <w:rFonts w:hint="eastAsia"/>
                <w:color w:val="000000" w:themeColor="text1"/>
              </w:rPr>
              <w:t>：</w:t>
            </w:r>
            <w:r>
              <w:rPr>
                <w:rFonts w:hint="eastAsia" w:ascii="Wingdings" w:hAnsi="Wingdings"/>
                <w:color w:val="000000" w:themeColor="text1"/>
              </w:rPr>
              <w:t>■</w:t>
            </w:r>
            <w:r>
              <w:rPr>
                <w:rFonts w:hint="eastAsia"/>
                <w:color w:val="000000" w:themeColor="text1"/>
              </w:rPr>
              <w:t xml:space="preserve">未发生 </w:t>
            </w:r>
            <w:r>
              <w:rPr>
                <w:rFonts w:hint="eastAsia" w:ascii="Wingdings" w:hAnsi="Wingdings"/>
                <w:color w:val="000000" w:themeColor="text1"/>
              </w:rPr>
              <w:t>□</w:t>
            </w:r>
            <w:r>
              <w:rPr>
                <w:rFonts w:hint="eastAsia"/>
                <w:color w:val="000000" w:themeColor="text1"/>
              </w:rPr>
              <w:t>已发生：</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 xml:space="preserve"> </w:t>
            </w:r>
          </w:p>
          <w:p>
            <w:r>
              <w:rPr>
                <w:rFonts w:hint="eastAsia"/>
                <w:color w:val="000000" w:themeColor="text1"/>
                <w:u w:val="single"/>
              </w:rPr>
              <w:t>于</w:t>
            </w:r>
            <w:r>
              <w:rPr>
                <w:rFonts w:hint="eastAsia"/>
                <w:color w:val="000000" w:themeColor="text1"/>
                <w:u w:val="single"/>
                <w:lang w:eastAsia="zh-CN"/>
              </w:rPr>
              <w:t>2022年9月6日</w:t>
            </w:r>
            <w:r>
              <w:rPr>
                <w:rFonts w:hint="eastAsia"/>
                <w:color w:val="000000" w:themeColor="text1"/>
                <w:u w:val="single"/>
              </w:rPr>
              <w:t>进行了火灾事</w:t>
            </w:r>
            <w:r>
              <w:rPr>
                <w:rFonts w:hint="eastAsia"/>
                <w:color w:val="000000"/>
                <w:u w:val="single"/>
              </w:rPr>
              <w:t>故应急预案演练</w:t>
            </w:r>
            <w:r>
              <w:rPr>
                <w:rFonts w:hint="eastAsia"/>
              </w:rPr>
              <w:t xml:space="preserve">；并总结了预案的可行性和有效性。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color w:val="000000" w:themeColor="text1"/>
                <w:lang w:val="en-GB"/>
              </w:rPr>
            </w:pPr>
            <w:r>
              <w:rPr>
                <w:rFonts w:hint="eastAsia"/>
              </w:rPr>
              <w:t>组织</w:t>
            </w:r>
            <w:r>
              <w:rPr>
                <w:rFonts w:hint="eastAsia"/>
                <w:lang w:val="en-GB"/>
              </w:rPr>
              <w:t>已经制定与信息</w:t>
            </w:r>
            <w:r>
              <w:rPr>
                <w:rFonts w:hint="eastAsia"/>
              </w:rPr>
              <w:t>的收集、</w:t>
            </w:r>
            <w:r>
              <w:rPr>
                <w:rFonts w:hint="eastAsia"/>
                <w:color w:val="000000" w:themeColor="text1"/>
                <w:lang w:val="en-GB"/>
              </w:rPr>
              <w:t>数据分析、改进方法相关的程序，并生效。</w:t>
            </w:r>
          </w:p>
          <w:p>
            <w:pPr>
              <w:rPr>
                <w:color w:val="000000" w:themeColor="text1"/>
              </w:rPr>
            </w:pPr>
            <w:r>
              <w:rPr>
                <w:rFonts w:hint="eastAsia"/>
                <w:color w:val="000000" w:themeColor="text1"/>
              </w:rPr>
              <w:t>组织已分析和评价通过监视和测量获得的适当的数据和信息。</w:t>
            </w:r>
          </w:p>
          <w:p>
            <w:pPr>
              <w:rPr>
                <w:color w:val="000000" w:themeColor="text1"/>
              </w:rPr>
            </w:pPr>
            <w:r>
              <w:rPr>
                <w:rFonts w:hint="eastAsia"/>
                <w:color w:val="000000" w:themeColor="text1"/>
              </w:rPr>
              <w:t>组织已建立、实施并保持评价其合规义务履行情况所需的过程。</w:t>
            </w:r>
          </w:p>
          <w:p>
            <w:pPr>
              <w:rPr>
                <w:color w:val="000000" w:themeColor="text1"/>
              </w:rPr>
            </w:pPr>
            <w:r>
              <w:rPr>
                <w:rFonts w:hint="eastAsia"/>
                <w:color w:val="000000" w:themeColor="text1"/>
              </w:rPr>
              <w:t>实施合规性评价的时间：</w:t>
            </w:r>
          </w:p>
          <w:p>
            <w:pPr>
              <w:rPr>
                <w:rFonts w:hint="eastAsia" w:eastAsia="宋体"/>
                <w:color w:val="000000" w:themeColor="text1"/>
                <w:u w:val="single"/>
                <w:lang w:eastAsia="zh-CN"/>
              </w:rPr>
            </w:pPr>
            <w:r>
              <w:rPr>
                <w:rFonts w:hint="eastAsia"/>
                <w:color w:val="000000" w:themeColor="text1"/>
              </w:rPr>
              <w:t>■定期（每年） ：</w:t>
            </w:r>
            <w:r>
              <w:rPr>
                <w:rFonts w:hint="eastAsia"/>
                <w:color w:val="000000" w:themeColor="text1"/>
                <w:u w:val="single"/>
                <w:lang w:eastAsia="zh-CN"/>
              </w:rPr>
              <w:t>2022年12月4日</w:t>
            </w:r>
          </w:p>
          <w:p>
            <w:pPr>
              <w:rPr>
                <w:color w:val="000000" w:themeColor="text1"/>
              </w:rPr>
            </w:pPr>
            <w:r>
              <w:rPr>
                <w:rFonts w:hint="eastAsia"/>
                <w:color w:val="000000" w:themeColor="text1"/>
              </w:rPr>
              <w:t>□特殊情况（法规变化）：</w:t>
            </w:r>
            <w:r>
              <w:rPr>
                <w:rFonts w:hint="eastAsia"/>
                <w:color w:val="000000" w:themeColor="text1"/>
                <w:u w:val="single"/>
              </w:rPr>
              <w:t xml:space="preserve">       </w:t>
            </w:r>
            <w:r>
              <w:rPr>
                <w:rFonts w:hint="eastAsia"/>
                <w:color w:val="000000" w:themeColor="text1"/>
              </w:rPr>
              <w:t>年</w:t>
            </w:r>
            <w:r>
              <w:rPr>
                <w:rFonts w:hint="eastAsia"/>
                <w:color w:val="000000" w:themeColor="text1"/>
                <w:u w:val="single"/>
              </w:rPr>
              <w:t xml:space="preserve">   </w:t>
            </w:r>
            <w:r>
              <w:rPr>
                <w:rFonts w:hint="eastAsia"/>
                <w:color w:val="000000" w:themeColor="text1"/>
              </w:rPr>
              <w:t>月</w:t>
            </w:r>
            <w:r>
              <w:rPr>
                <w:rFonts w:hint="eastAsia"/>
                <w:color w:val="000000" w:themeColor="text1"/>
                <w:u w:val="single"/>
              </w:rPr>
              <w:t xml:space="preserve">   </w:t>
            </w:r>
            <w:r>
              <w:rPr>
                <w:rFonts w:hint="eastAsia"/>
                <w:color w:val="000000" w:themeColor="text1"/>
              </w:rPr>
              <w:t>日</w:t>
            </w:r>
          </w:p>
          <w:p>
            <w:r>
              <w:rPr>
                <w:rFonts w:hint="eastAsia"/>
                <w:color w:val="000000" w:themeColor="text1"/>
              </w:rPr>
              <w:t>对评价合规性发现的问题，采取必要的措施；</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Wingdings" w:hAnsi="Wingdings"/>
                <w:color w:val="000000" w:themeColor="text1"/>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2023年1月5日-6日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u w:val="single"/>
                <w:lang w:eastAsia="zh-CN"/>
              </w:rPr>
              <w:t>2023年2月15日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pPr w:leftFromText="180" w:rightFromText="180" w:vertAnchor="text" w:horzAnchor="page" w:tblpX="1185" w:tblpY="338"/>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5.2</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5.3</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6.1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color w:val="000000" w:themeColor="text1"/>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7.5</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8.1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8.2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9.1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9.2</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color w:val="000000" w:themeColor="text1"/>
              </w:rPr>
            </w:pPr>
            <w:r>
              <w:rPr>
                <w:rFonts w:hint="eastAsia"/>
                <w:color w:val="000000" w:themeColor="text1"/>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rFonts w:hint="eastAsia" w:eastAsia="宋体"/>
                <w:color w:val="000000" w:themeColor="text1"/>
                <w:lang w:eastAsia="zh-CN"/>
              </w:rPr>
            </w:pPr>
            <w:r>
              <w:rPr>
                <w:rFonts w:hint="eastAsia"/>
                <w:color w:val="000000" w:themeColor="text1"/>
                <w:lang w:val="en-US" w:eastAsia="zh-CN"/>
              </w:rPr>
              <w:t>2</w:t>
            </w:r>
          </w:p>
        </w:tc>
        <w:tc>
          <w:tcPr>
            <w:tcW w:w="769"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3</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bookmarkStart w:id="30" w:name="_GoBack"/>
            <w:bookmarkEnd w:id="30"/>
          </w:p>
        </w:tc>
        <w:tc>
          <w:tcPr>
            <w:tcW w:w="768" w:type="dxa"/>
            <w:tcBorders>
              <w:bottom w:val="single" w:color="auto" w:sz="4" w:space="0"/>
            </w:tcBorders>
            <w:shd w:val="clear" w:color="auto" w:fill="F2DCDC" w:themeFill="accent2" w:themeFillTint="32"/>
            <w:vAlign w:val="center"/>
          </w:tcPr>
          <w:p>
            <w:pPr>
              <w:rPr>
                <w:rFonts w:hint="eastAsia" w:eastAsia="宋体"/>
                <w:color w:val="000000" w:themeColor="text1"/>
                <w:lang w:val="en-US" w:eastAsia="zh-CN"/>
              </w:rPr>
            </w:pPr>
          </w:p>
        </w:tc>
        <w:tc>
          <w:tcPr>
            <w:tcW w:w="768" w:type="dxa"/>
            <w:tcBorders>
              <w:bottom w:val="single" w:color="auto" w:sz="4" w:space="0"/>
            </w:tcBorders>
            <w:shd w:val="clear" w:color="auto" w:fill="F2DCDC" w:themeFill="accent2" w:themeFillTint="32"/>
            <w:vAlign w:val="center"/>
          </w:tcPr>
          <w:p>
            <w:pPr>
              <w:rPr>
                <w:color w:val="000000" w:themeColor="text1"/>
                <w:lang w:eastAsia="ja-JP"/>
              </w:rPr>
            </w:pPr>
          </w:p>
        </w:tc>
        <w:tc>
          <w:tcPr>
            <w:tcW w:w="769" w:type="dxa"/>
            <w:tcBorders>
              <w:bottom w:val="single" w:color="auto" w:sz="4" w:space="0"/>
            </w:tcBorders>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4ED64C93"/>
    <w:rsid w:val="4FF5613B"/>
    <w:rsid w:val="50A02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20607</Words>
  <Characters>22090</Characters>
  <Lines>150</Lines>
  <Paragraphs>42</Paragraphs>
  <TotalTime>0</TotalTime>
  <ScaleCrop>false</ScaleCrop>
  <LinksUpToDate>false</LinksUpToDate>
  <CharactersWithSpaces>24864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2023-03-11T02:05:49Z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