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0167-2023-QEO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河北恒拓通信设备有限公司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6"/>
      </w:pPr>
    </w:p>
    <w:p>
      <w:pPr>
        <w:pStyle w:val="16"/>
      </w:pPr>
    </w:p>
    <w:p>
      <w:pPr>
        <w:pStyle w:val="16"/>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河北恒拓通信设备有限公司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任丘市经济技术开发区</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任丘市大河路北马区</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尹一冰</w:t>
            </w:r>
            <w:bookmarkEnd w:id="10"/>
          </w:p>
        </w:tc>
        <w:tc>
          <w:tcPr>
            <w:tcW w:w="1313" w:type="dxa"/>
            <w:vAlign w:val="center"/>
          </w:tcPr>
          <w:p>
            <w:r>
              <w:rPr>
                <w:rFonts w:hint="eastAsia"/>
              </w:rPr>
              <w:t>电话.</w:t>
            </w:r>
          </w:p>
        </w:tc>
        <w:tc>
          <w:tcPr>
            <w:tcW w:w="2180" w:type="dxa"/>
            <w:vAlign w:val="center"/>
          </w:tcPr>
          <w:p>
            <w:bookmarkStart w:id="11" w:name="联系人电话"/>
            <w:r>
              <w:t>15373364926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解峰</w:t>
            </w:r>
            <w:bookmarkEnd w:id="13"/>
          </w:p>
        </w:tc>
        <w:tc>
          <w:tcPr>
            <w:tcW w:w="1313" w:type="dxa"/>
            <w:vAlign w:val="center"/>
          </w:tcPr>
          <w:p>
            <w:r>
              <w:rPr>
                <w:rFonts w:hint="eastAsia"/>
              </w:rPr>
              <w:t>管理者代表</w:t>
            </w:r>
          </w:p>
        </w:tc>
        <w:tc>
          <w:tcPr>
            <w:tcW w:w="2180" w:type="dxa"/>
          </w:tcPr>
          <w:p>
            <w:bookmarkStart w:id="14" w:name="管理者代表"/>
            <w:r>
              <w:t>尹一冰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hint="default"/>
                <w:sz w:val="24"/>
                <w:szCs w:val="24"/>
                <w:lang w:val="en-US" w:eastAsia="zh-CN"/>
              </w:rPr>
            </w:pPr>
            <w:r>
              <w:rPr>
                <w:rFonts w:hint="eastAsia"/>
                <w:sz w:val="24"/>
                <w:szCs w:val="24"/>
              </w:rPr>
              <w:t>电力铁附件、电力金具：下料—冲压—表面处理</w:t>
            </w:r>
            <w:r>
              <w:rPr>
                <w:rFonts w:hint="eastAsia"/>
                <w:sz w:val="24"/>
                <w:szCs w:val="24"/>
                <w:lang w:eastAsia="zh-CN"/>
              </w:rPr>
              <w:t>（外包）</w:t>
            </w:r>
            <w:r>
              <w:rPr>
                <w:rFonts w:hint="eastAsia"/>
                <w:sz w:val="24"/>
                <w:szCs w:val="24"/>
              </w:rPr>
              <w:t>—装配</w:t>
            </w:r>
            <w:r>
              <w:rPr>
                <w:rFonts w:hint="eastAsia"/>
                <w:sz w:val="24"/>
                <w:szCs w:val="24"/>
                <w:lang w:eastAsia="zh-CN"/>
              </w:rPr>
              <w:t>—</w:t>
            </w:r>
            <w:r>
              <w:rPr>
                <w:rFonts w:hint="eastAsia"/>
                <w:sz w:val="24"/>
                <w:szCs w:val="24"/>
                <w:lang w:val="en-US" w:eastAsia="zh-CN"/>
              </w:rPr>
              <w:t>成品</w:t>
            </w:r>
          </w:p>
          <w:p>
            <w:pPr>
              <w:spacing w:line="360" w:lineRule="auto"/>
              <w:rPr>
                <w:rFonts w:hint="eastAsia"/>
                <w:sz w:val="24"/>
                <w:szCs w:val="24"/>
                <w:lang w:eastAsia="zh-CN"/>
              </w:rPr>
            </w:pPr>
            <w:r>
              <w:rPr>
                <w:rFonts w:hint="eastAsia"/>
                <w:sz w:val="24"/>
                <w:szCs w:val="24"/>
              </w:rPr>
              <w:t>井圈、井盖</w:t>
            </w:r>
            <w:r>
              <w:rPr>
                <w:rFonts w:hint="eastAsia"/>
                <w:sz w:val="24"/>
                <w:szCs w:val="24"/>
                <w:lang w:eastAsia="zh-CN"/>
              </w:rPr>
              <w:t>：</w:t>
            </w:r>
            <w:r>
              <w:rPr>
                <w:rFonts w:hint="eastAsia"/>
                <w:sz w:val="24"/>
                <w:szCs w:val="24"/>
              </w:rPr>
              <w:t>称重备料—搅拌—</w:t>
            </w:r>
            <w:r>
              <w:rPr>
                <w:rFonts w:hint="eastAsia"/>
                <w:sz w:val="24"/>
                <w:szCs w:val="24"/>
                <w:lang w:eastAsia="zh-CN"/>
              </w:rPr>
              <w:t>（</w:t>
            </w:r>
            <w:r>
              <w:rPr>
                <w:rFonts w:hint="eastAsia"/>
                <w:sz w:val="24"/>
                <w:szCs w:val="24"/>
              </w:rPr>
              <w:t>骨架焊接</w:t>
            </w:r>
            <w:r>
              <w:rPr>
                <w:rFonts w:hint="eastAsia"/>
                <w:sz w:val="24"/>
                <w:szCs w:val="24"/>
                <w:lang w:eastAsia="zh-CN"/>
              </w:rPr>
              <w:t>）</w:t>
            </w:r>
            <w:r>
              <w:rPr>
                <w:rFonts w:hint="eastAsia"/>
                <w:sz w:val="24"/>
                <w:szCs w:val="24"/>
              </w:rPr>
              <w:t>—压制</w:t>
            </w:r>
            <w:r>
              <w:rPr>
                <w:rFonts w:hint="eastAsia"/>
                <w:sz w:val="24"/>
                <w:szCs w:val="24"/>
                <w:lang w:eastAsia="zh-CN"/>
              </w:rPr>
              <w:t>成型</w:t>
            </w:r>
            <w:r>
              <w:rPr>
                <w:rFonts w:hint="eastAsia"/>
                <w:sz w:val="24"/>
                <w:szCs w:val="24"/>
              </w:rPr>
              <w:t>—出模—</w:t>
            </w:r>
            <w:r>
              <w:rPr>
                <w:rFonts w:hint="eastAsia"/>
                <w:sz w:val="24"/>
                <w:szCs w:val="24"/>
                <w:lang w:val="en-US" w:eastAsia="zh-CN"/>
              </w:rPr>
              <w:t>成品</w:t>
            </w:r>
          </w:p>
          <w:p>
            <w:pPr>
              <w:spacing w:line="360" w:lineRule="auto"/>
              <w:rPr>
                <w:rFonts w:hint="default"/>
                <w:sz w:val="24"/>
                <w:szCs w:val="24"/>
                <w:lang w:val="en-US" w:eastAsia="zh-CN"/>
              </w:rPr>
            </w:pPr>
            <w:r>
              <w:rPr>
                <w:rFonts w:hint="eastAsia"/>
                <w:sz w:val="24"/>
                <w:szCs w:val="24"/>
                <w:lang w:val="en-US" w:eastAsia="zh-CN"/>
              </w:rPr>
              <w:t>标志牌：下料—</w:t>
            </w:r>
            <w:r>
              <w:rPr>
                <w:rFonts w:hint="eastAsia"/>
                <w:sz w:val="24"/>
                <w:szCs w:val="24"/>
                <w:lang w:eastAsia="zh-CN"/>
              </w:rPr>
              <w:t>贴膜</w:t>
            </w:r>
            <w:r>
              <w:rPr>
                <w:rFonts w:hint="eastAsia"/>
                <w:sz w:val="24"/>
                <w:szCs w:val="24"/>
                <w:lang w:val="en-US" w:eastAsia="zh-CN"/>
              </w:rPr>
              <w:t>/印刷—成品</w:t>
            </w:r>
          </w:p>
          <w:p>
            <w:pPr>
              <w:spacing w:line="360" w:lineRule="auto"/>
              <w:rPr>
                <w:rFonts w:hint="eastAsia"/>
                <w:sz w:val="24"/>
                <w:szCs w:val="24"/>
              </w:rPr>
            </w:pPr>
            <w:r>
              <w:rPr>
                <w:rFonts w:hint="eastAsia"/>
                <w:sz w:val="24"/>
                <w:szCs w:val="24"/>
                <w:lang w:eastAsia="zh-CN"/>
              </w:rPr>
              <w:t>塑料管材：</w:t>
            </w:r>
            <w:r>
              <w:rPr>
                <w:rFonts w:hint="eastAsia"/>
                <w:sz w:val="24"/>
                <w:szCs w:val="24"/>
              </w:rPr>
              <w:t>配料—搅拌—加热—挤出成型—牵引—切割—</w:t>
            </w:r>
            <w:r>
              <w:rPr>
                <w:rFonts w:hint="eastAsia"/>
                <w:sz w:val="24"/>
                <w:szCs w:val="24"/>
                <w:lang w:val="en-US" w:eastAsia="zh-CN"/>
              </w:rPr>
              <w:t>成品</w:t>
            </w:r>
          </w:p>
          <w:p>
            <w:pPr>
              <w:spacing w:line="360" w:lineRule="auto"/>
              <w:rPr>
                <w:rFonts w:hint="eastAsia"/>
                <w:sz w:val="24"/>
                <w:szCs w:val="24"/>
                <w:lang w:val="en-US" w:eastAsia="zh-CN"/>
              </w:rPr>
            </w:pPr>
            <w:r>
              <w:rPr>
                <w:rFonts w:hint="eastAsia"/>
                <w:sz w:val="24"/>
                <w:szCs w:val="24"/>
              </w:rPr>
              <w:t>钢绞线：打盘—绞合—成型</w:t>
            </w:r>
            <w:r>
              <w:rPr>
                <w:rFonts w:hint="eastAsia"/>
                <w:sz w:val="24"/>
                <w:szCs w:val="24"/>
                <w:lang w:eastAsia="zh-CN"/>
              </w:rPr>
              <w:t>—</w:t>
            </w:r>
            <w:r>
              <w:rPr>
                <w:rFonts w:hint="eastAsia"/>
                <w:sz w:val="24"/>
                <w:szCs w:val="24"/>
                <w:lang w:val="en-US" w:eastAsia="zh-CN"/>
              </w:rPr>
              <w:t>成品</w:t>
            </w:r>
          </w:p>
          <w:p>
            <w:r>
              <w:rPr>
                <w:rFonts w:hint="eastAsia"/>
                <w:sz w:val="24"/>
                <w:szCs w:val="24"/>
              </w:rPr>
              <w:t>销售流程</w:t>
            </w:r>
            <w:r>
              <w:rPr>
                <w:rFonts w:hint="eastAsia"/>
                <w:sz w:val="24"/>
                <w:szCs w:val="24"/>
                <w:lang w:eastAsia="zh-CN"/>
              </w:rPr>
              <w:t>：</w:t>
            </w:r>
            <w:r>
              <w:rPr>
                <w:rFonts w:hint="eastAsia"/>
                <w:sz w:val="24"/>
                <w:szCs w:val="24"/>
              </w:rPr>
              <w:t>业务洽谈—签订合同—组织货源—产品交付—结算</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2023年03月13日 上午至2023年03月14日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任丘市大河路北马区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Q：认可：电力铁附件、电力金具、井圈、井盖、标志牌、钢绞线的生产及线路辅助材料、螺栓、通信抱杆、变压器、绝缘子、钢管、配电箱的销售</w:t>
            </w:r>
          </w:p>
          <w:p>
            <w:r>
              <w:t>未认可：塑料管材的生产</w:t>
            </w:r>
          </w:p>
          <w:p>
            <w:r>
              <w:t>E：电力铁附件、电力金具、井圈、井盖、标志牌、塑料管材、钢绞线的生产及线路辅助材料、螺栓、通信抱杆、变压器、绝缘子、钢管、配电箱的销售所涉及场所的相关环境管理活动</w:t>
            </w:r>
          </w:p>
          <w:p>
            <w:r>
              <w:t>O：电力铁附件、电力金具、井圈、井盖、标志牌、塑料管材、钢绞线的生产及线路辅助材料、螺栓、通信抱杆、变压器、绝缘子、钢管、配电箱的销售所涉及场所的相关职业健康安全管理活动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Q：14.02.01;17.11.03;17.12.03;17.12.05;29.12.00</w:t>
            </w:r>
          </w:p>
          <w:p>
            <w:r>
              <w:t>E：14.02.01;17.11.03;17.12.03;17.12.05;29.12.00</w:t>
            </w:r>
          </w:p>
          <w:p>
            <w:r>
              <w:t>O：14.02.01;17.11.03;17.12.03;17.12.05;29.12.00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 xml:space="preserve"> 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46"/>
        <w:gridCol w:w="734"/>
        <w:gridCol w:w="3461"/>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446" w:type="dxa"/>
            <w:shd w:val="clear" w:color="auto" w:fill="F3F3F3"/>
            <w:tcMar>
              <w:left w:w="57" w:type="dxa"/>
              <w:right w:w="57" w:type="dxa"/>
            </w:tcMar>
          </w:tcPr>
          <w:p>
            <w:r>
              <w:rPr>
                <w:rFonts w:hint="eastAsia"/>
              </w:rPr>
              <w:t>经营场所的地址</w:t>
            </w:r>
          </w:p>
          <w:p>
            <w:r>
              <w:rPr>
                <w:rFonts w:hint="eastAsia"/>
              </w:rPr>
              <w:t>（多现场和临时现场）</w:t>
            </w:r>
          </w:p>
        </w:tc>
        <w:tc>
          <w:tcPr>
            <w:tcW w:w="734" w:type="dxa"/>
            <w:shd w:val="clear" w:color="auto" w:fill="F3F3F3"/>
            <w:tcMar>
              <w:left w:w="57" w:type="dxa"/>
              <w:right w:w="57" w:type="dxa"/>
            </w:tcMar>
          </w:tcPr>
          <w:p>
            <w:r>
              <w:rPr>
                <w:rFonts w:hint="eastAsia"/>
              </w:rPr>
              <w:t>员工人数</w:t>
            </w:r>
          </w:p>
        </w:tc>
        <w:tc>
          <w:tcPr>
            <w:tcW w:w="3461"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河北恒拓通信设备有限公司</w:t>
            </w:r>
          </w:p>
          <w:p>
            <w:pPr>
              <w:rPr>
                <w:lang w:val="de-DE" w:eastAsia="ja-JP"/>
              </w:rPr>
            </w:pPr>
            <w:r>
              <w:rPr>
                <w:rFonts w:hint="eastAsia"/>
                <w:lang w:val="de-DE" w:eastAsia="ja-JP"/>
              </w:rPr>
              <w:t>任丘市经济技术开发区</w:t>
            </w:r>
          </w:p>
        </w:tc>
        <w:tc>
          <w:tcPr>
            <w:tcW w:w="1446" w:type="dxa"/>
          </w:tcPr>
          <w:p>
            <w:pPr>
              <w:rPr>
                <w:lang w:val="de-DE" w:eastAsia="ja-JP"/>
              </w:rPr>
            </w:pPr>
            <w:r>
              <w:rPr>
                <w:rFonts w:asciiTheme="minorEastAsia" w:hAnsiTheme="minorEastAsia" w:eastAsiaTheme="minorEastAsia"/>
                <w:sz w:val="20"/>
              </w:rPr>
              <w:t>任丘市大河路北马区</w:t>
            </w:r>
          </w:p>
        </w:tc>
        <w:tc>
          <w:tcPr>
            <w:tcW w:w="734" w:type="dxa"/>
            <w:vAlign w:val="center"/>
          </w:tcPr>
          <w:p>
            <w:pPr>
              <w:rPr>
                <w:rFonts w:hint="default" w:eastAsia="宋体"/>
                <w:lang w:val="en-US" w:eastAsia="zh-CN"/>
              </w:rPr>
            </w:pPr>
            <w:r>
              <w:rPr>
                <w:rFonts w:hint="eastAsia"/>
                <w:lang w:val="en-US" w:eastAsia="zh-CN"/>
              </w:rPr>
              <w:t>25</w:t>
            </w:r>
          </w:p>
        </w:tc>
        <w:tc>
          <w:tcPr>
            <w:tcW w:w="3461" w:type="dxa"/>
            <w:vAlign w:val="center"/>
          </w:tcPr>
          <w:p>
            <w:pPr>
              <w:rPr>
                <w:sz w:val="20"/>
              </w:rPr>
            </w:pPr>
            <w:r>
              <w:rPr>
                <w:sz w:val="20"/>
              </w:rPr>
              <w:t>Q：认可：电力铁附件、电力金具、井圈、井盖、标志牌、钢绞线的生产及线路辅助材料、螺栓、通信抱杆、变压器、绝缘子、钢管、配电箱的销售</w:t>
            </w:r>
          </w:p>
          <w:p>
            <w:pPr>
              <w:rPr>
                <w:sz w:val="20"/>
              </w:rPr>
            </w:pPr>
            <w:r>
              <w:rPr>
                <w:sz w:val="20"/>
              </w:rPr>
              <w:t>未认可：塑料管材的生产</w:t>
            </w:r>
          </w:p>
          <w:p>
            <w:pPr>
              <w:rPr>
                <w:sz w:val="20"/>
              </w:rPr>
            </w:pPr>
            <w:r>
              <w:rPr>
                <w:sz w:val="20"/>
              </w:rPr>
              <w:t>E：电力铁附件、电力金具、井圈、井盖、标志牌、塑料管材、钢绞线的生产及线路辅助材料、螺栓、通信抱杆、变压器、绝缘子、钢管、配电箱的销售所涉及场所的相关环境管理活动</w:t>
            </w:r>
          </w:p>
          <w:p>
            <w:pPr>
              <w:rPr>
                <w:lang w:eastAsia="ja-JP"/>
              </w:rPr>
            </w:pPr>
            <w:r>
              <w:rPr>
                <w:sz w:val="20"/>
              </w:rPr>
              <w:t>O：电力铁附件、电力金具、井圈、井盖、标志牌、塑料管材、钢绞线的生产及线路辅助材料、螺栓、通信抱杆、变压器、绝缘子、钢管、配电箱的销售所涉及场所的相关职业健康安全管理活动</w:t>
            </w:r>
          </w:p>
        </w:tc>
        <w:tc>
          <w:tcPr>
            <w:tcW w:w="669" w:type="dxa"/>
            <w:vAlign w:val="center"/>
          </w:tcPr>
          <w:p>
            <w:pPr>
              <w:rPr>
                <w:lang w:val="de-DE"/>
              </w:rPr>
            </w:pPr>
            <w:r>
              <w:rPr>
                <w:rFonts w:hint="eastAsia"/>
                <w:lang w:val="de-DE"/>
              </w:rPr>
              <w:t>GB/T19001-2016GB/T24001-2016</w:t>
            </w:r>
            <w:r>
              <w:rPr>
                <w:rFonts w:hint="eastAsia"/>
              </w:rPr>
              <w:t>GB/T 45001-2020</w:t>
            </w:r>
          </w:p>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446" w:type="dxa"/>
            <w:vAlign w:val="center"/>
          </w:tcPr>
          <w:p>
            <w:pPr>
              <w:rPr>
                <w:lang w:eastAsia="ja-JP"/>
              </w:rPr>
            </w:pPr>
          </w:p>
        </w:tc>
        <w:tc>
          <w:tcPr>
            <w:tcW w:w="734" w:type="dxa"/>
            <w:vAlign w:val="center"/>
          </w:tcPr>
          <w:p>
            <w:pPr>
              <w:rPr>
                <w:lang w:eastAsia="ja-JP"/>
              </w:rPr>
            </w:pPr>
          </w:p>
        </w:tc>
        <w:tc>
          <w:tcPr>
            <w:tcW w:w="346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446" w:type="dxa"/>
            <w:vAlign w:val="center"/>
          </w:tcPr>
          <w:p>
            <w:pPr>
              <w:rPr>
                <w:lang w:eastAsia="ja-JP"/>
              </w:rPr>
            </w:pPr>
          </w:p>
        </w:tc>
        <w:tc>
          <w:tcPr>
            <w:tcW w:w="734" w:type="dxa"/>
            <w:vAlign w:val="center"/>
          </w:tcPr>
          <w:p>
            <w:pPr>
              <w:rPr>
                <w:lang w:eastAsia="ja-JP"/>
              </w:rPr>
            </w:pPr>
          </w:p>
        </w:tc>
        <w:tc>
          <w:tcPr>
            <w:tcW w:w="346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446" w:type="dxa"/>
            <w:vAlign w:val="center"/>
          </w:tcPr>
          <w:p>
            <w:pPr>
              <w:rPr>
                <w:lang w:eastAsia="ja-JP"/>
              </w:rPr>
            </w:pPr>
          </w:p>
        </w:tc>
        <w:tc>
          <w:tcPr>
            <w:tcW w:w="734" w:type="dxa"/>
            <w:vAlign w:val="center"/>
          </w:tcPr>
          <w:p>
            <w:pPr>
              <w:rPr>
                <w:lang w:eastAsia="ja-JP"/>
              </w:rPr>
            </w:pPr>
          </w:p>
        </w:tc>
        <w:tc>
          <w:tcPr>
            <w:tcW w:w="346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446" w:type="dxa"/>
            <w:vAlign w:val="center"/>
          </w:tcPr>
          <w:p>
            <w:pPr>
              <w:rPr>
                <w:lang w:eastAsia="ja-JP"/>
              </w:rPr>
            </w:pPr>
          </w:p>
        </w:tc>
        <w:tc>
          <w:tcPr>
            <w:tcW w:w="734" w:type="dxa"/>
            <w:vAlign w:val="center"/>
          </w:tcPr>
          <w:p>
            <w:pPr>
              <w:rPr>
                <w:lang w:eastAsia="ja-JP"/>
              </w:rPr>
            </w:pPr>
          </w:p>
        </w:tc>
        <w:tc>
          <w:tcPr>
            <w:tcW w:w="3461"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2022-N1OHSMS-1244880</w:t>
            </w:r>
          </w:p>
        </w:tc>
        <w:tc>
          <w:tcPr>
            <w:tcW w:w="2179" w:type="dxa"/>
            <w:vAlign w:val="center"/>
          </w:tcPr>
          <w:p>
            <w:r>
              <w:t>Q:14.02.01,17.11.03,17.12.03,17.12.05,29.12.00</w:t>
            </w:r>
          </w:p>
          <w:p>
            <w:r>
              <w:t>E:14.02.01,17.11.03,17.12.03,17.12.05,29.12.00</w:t>
            </w:r>
          </w:p>
          <w:p>
            <w:r>
              <w:t>O:14.02.01,17.11.03,17.12.03,17.12.05,29.12.00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Q:17.11.03,17.12.03,17.12.05,29.12.00</w:t>
            </w:r>
          </w:p>
          <w:p>
            <w:r>
              <w:t>E:14.02.01,17.11.03,17.12.03,17.12.05,29.12.00</w:t>
            </w:r>
          </w:p>
          <w:p>
            <w:r>
              <w:t>O:17.11.03,17.12.03,17.12.05,29.12.00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周文廷</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eastAsia="zh-CN"/>
              </w:rPr>
              <w:t>☑</w:t>
            </w:r>
            <w:r>
              <w:rPr>
                <w:rFonts w:hint="eastAsia"/>
              </w:rPr>
              <w:t>生产/服务过程</w:t>
            </w:r>
            <w:r>
              <w:rPr>
                <w:rFonts w:hint="eastAsia"/>
                <w:lang w:eastAsia="zh-CN"/>
              </w:rPr>
              <w:t>（</w:t>
            </w:r>
            <w:r>
              <w:rPr>
                <w:rFonts w:hint="eastAsia"/>
                <w:lang w:val="en-US" w:eastAsia="zh-CN"/>
              </w:rPr>
              <w:t>表面处理</w:t>
            </w:r>
            <w:r>
              <w:rPr>
                <w:rFonts w:hint="eastAsia"/>
                <w:lang w:eastAsia="zh-CN"/>
              </w:rPr>
              <w:t>）</w:t>
            </w:r>
            <w:r>
              <w:rPr>
                <w:rFonts w:hint="eastAsia"/>
              </w:rPr>
              <w:t>□检验检测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400" w:lineRule="exact"/>
              <w:ind w:firstLine="1200" w:firstLineChars="500"/>
              <w:jc w:val="both"/>
              <w:rPr>
                <w:rFonts w:hint="eastAsia" w:ascii="宋体" w:hAnsi="宋体"/>
                <w:sz w:val="24"/>
                <w:lang w:val="en-US" w:eastAsia="zh-CN"/>
              </w:rPr>
            </w:pPr>
            <w:r>
              <w:rPr>
                <w:rFonts w:hint="eastAsia" w:ascii="宋体" w:hAnsi="宋体"/>
                <w:sz w:val="24"/>
                <w:lang w:val="en-US" w:eastAsia="zh-CN"/>
              </w:rPr>
              <w:t>通过持续改进，确保顾客始终满意是我们永恒的追求；</w:t>
            </w:r>
          </w:p>
          <w:p>
            <w:pPr>
              <w:spacing w:line="400" w:lineRule="exact"/>
              <w:jc w:val="center"/>
              <w:rPr>
                <w:rFonts w:hint="eastAsia" w:ascii="宋体" w:hAnsi="宋体"/>
                <w:sz w:val="24"/>
              </w:rPr>
            </w:pPr>
            <w:r>
              <w:rPr>
                <w:rFonts w:hint="eastAsia" w:ascii="宋体" w:hAnsi="宋体"/>
                <w:sz w:val="24"/>
              </w:rPr>
              <w:t>预防污染，达标排放，节能降耗，建设绿色环保型企业；</w:t>
            </w:r>
          </w:p>
          <w:p>
            <w:pPr>
              <w:shd w:val="clear" w:color="auto" w:fill="C7DAF1" w:themeFill="text2" w:themeFillTint="32"/>
              <w:ind w:firstLine="1200" w:firstLineChars="500"/>
              <w:rPr>
                <w:rFonts w:hint="eastAsia" w:ascii="宋体" w:hAnsi="宋体"/>
                <w:sz w:val="24"/>
                <w:lang w:val="en-US" w:eastAsia="zh-CN"/>
              </w:rPr>
            </w:pPr>
            <w:r>
              <w:rPr>
                <w:rFonts w:hint="eastAsia" w:ascii="宋体" w:hAnsi="宋体"/>
                <w:sz w:val="24"/>
              </w:rPr>
              <w:t>安全第一，预防为主，有法可依，员工的安全</w:t>
            </w:r>
            <w:r>
              <w:rPr>
                <w:rFonts w:hint="eastAsia" w:ascii="宋体" w:hAnsi="宋体"/>
                <w:sz w:val="24"/>
                <w:lang w:val="en-US" w:eastAsia="zh-CN"/>
              </w:rPr>
              <w:t>健康至上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供应商交付不及时或来料不符合要求</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1.采购员随时对订单进行跟踪，必须时到供应商现场确认；</w:t>
                  </w: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.增加合格供应商，同样产品必须有两家以上的合格供应商。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顾客不满意，导致公司信誉风险</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建立相应的应对措施，加强与顾客沟通方面的培训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产品质量</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严格质量管理，原材料进货、过程控制、出厂控制等</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生产现场和仓库出现明火，企业受到损失</w:t>
                  </w:r>
                </w:p>
              </w:tc>
              <w:tc>
                <w:tcPr>
                  <w:tcW w:w="3965" w:type="dxa"/>
                  <w:vAlign w:val="top"/>
                </w:tcPr>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lang w:eastAsia="zh-CN"/>
                    </w:rPr>
                    <w:t>严格执行相关消防制度，加强培训教育</w:t>
                  </w:r>
                </w:p>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加强监督</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楷体" w:hAnsi="楷体" w:eastAsia="楷体" w:cs="楷体"/>
                    </w:rPr>
                    <w:t>产品交付一次合格率≥95%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rPr>
                    <w:t>产品交付顾客验收合格</w:t>
                  </w:r>
                  <w:r>
                    <w:rPr>
                      <w:rFonts w:hint="eastAsia" w:ascii="Times New Roman" w:hAnsi="Times New Roman" w:eastAsia="宋体" w:cs="Times New Roman"/>
                      <w:lang w:val="en-US" w:eastAsia="zh-CN"/>
                    </w:rPr>
                    <w:t>次数</w:t>
                  </w:r>
                  <w:r>
                    <w:rPr>
                      <w:rFonts w:hint="eastAsia" w:ascii="Times New Roman" w:hAnsi="Times New Roman" w:eastAsia="宋体" w:cs="Times New Roman"/>
                    </w:rPr>
                    <w:t>/产品交付顾客验收合格总次数</w:t>
                  </w:r>
                  <w:r>
                    <w:rPr>
                      <w:rFonts w:hint="eastAsia" w:ascii="Times New Roman" w:hAnsi="Times New Roman" w:eastAsia="宋体" w:cs="Times New Roman"/>
                      <w:lang w:val="en-US" w:eastAsia="zh-CN"/>
                    </w:rPr>
                    <w:t>*100%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lang w:val="en-GB" w:eastAsia="zh-CN"/>
                    </w:rPr>
                    <w:t>生产部</w:t>
                  </w:r>
                </w:p>
              </w:tc>
              <w:tc>
                <w:tcPr>
                  <w:tcW w:w="1774" w:type="dxa"/>
                  <w:shd w:val="clear" w:color="auto" w:fill="auto"/>
                  <w:vAlign w:val="center"/>
                </w:tcPr>
                <w:p>
                  <w:pPr>
                    <w:shd w:val="clear" w:color="auto" w:fill="C7DAF1" w:themeFill="text2" w:themeFillTint="32"/>
                    <w:jc w:val="both"/>
                    <w:rPr>
                      <w:rFonts w:hint="eastAsia" w:ascii="宋体" w:hAnsi="宋体" w:eastAsia="宋体" w:cs="Times New Roman"/>
                      <w:kern w:val="2"/>
                      <w:sz w:val="21"/>
                      <w:szCs w:val="24"/>
                      <w:lang w:val="en-GB" w:eastAsia="zh-CN" w:bidi="ar-SA"/>
                    </w:rPr>
                  </w:pPr>
                  <w:r>
                    <w:rPr>
                      <w:rFonts w:hint="eastAsia" w:ascii="宋体" w:hAnsi="宋体" w:eastAsia="宋体"/>
                      <w:lang w:val="en-GB"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顾客满意度≥95%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顾客满意</w:t>
                  </w:r>
                  <w:r>
                    <w:rPr>
                      <w:rFonts w:hint="eastAsia" w:ascii="Times New Roman" w:hAnsi="Times New Roman" w:eastAsia="宋体" w:cs="Times New Roman"/>
                      <w:lang w:val="en-US" w:eastAsia="zh-CN"/>
                    </w:rPr>
                    <w:t>度实际得分数</w:t>
                  </w:r>
                  <w:r>
                    <w:rPr>
                      <w:rFonts w:hint="eastAsia" w:ascii="Times New Roman" w:hAnsi="Times New Roman" w:eastAsia="宋体" w:cs="Times New Roman"/>
                    </w:rPr>
                    <w:t>/满意度调查</w:t>
                  </w:r>
                  <w:r>
                    <w:rPr>
                      <w:rFonts w:hint="eastAsia" w:ascii="Times New Roman" w:hAnsi="Times New Roman" w:eastAsia="宋体" w:cs="Times New Roman"/>
                      <w:lang w:val="en-US" w:eastAsia="zh-CN"/>
                    </w:rPr>
                    <w:t>对应总分数*100%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供销部</w:t>
                  </w:r>
                </w:p>
              </w:tc>
              <w:tc>
                <w:tcPr>
                  <w:tcW w:w="1774" w:type="dxa"/>
                  <w:shd w:val="clear" w:color="auto" w:fill="auto"/>
                  <w:vAlign w:val="center"/>
                </w:tcPr>
                <w:p>
                  <w:pPr>
                    <w:shd w:val="clear" w:color="auto" w:fill="C7DAF1" w:themeFill="text2" w:themeFillTint="32"/>
                    <w:jc w:val="both"/>
                    <w:rPr>
                      <w:rFonts w:hint="eastAsia" w:ascii="宋体" w:hAnsi="宋体" w:eastAsia="宋体" w:cs="Times New Roman"/>
                      <w:kern w:val="2"/>
                      <w:sz w:val="21"/>
                      <w:szCs w:val="24"/>
                      <w:lang w:val="en-US" w:eastAsia="zh-CN" w:bidi="ar-SA"/>
                    </w:rPr>
                  </w:pPr>
                  <w:r>
                    <w:rPr>
                      <w:rFonts w:hint="eastAsia" w:ascii="宋体" w:hAnsi="宋体" w:eastAsia="宋体"/>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电焊机、切割机、折弯机、塑料挤出机、注塑机、绞线机、压力机等，</w:t>
            </w:r>
            <w:r>
              <w:rPr>
                <w:rFonts w:hint="eastAsia"/>
                <w:u w:val="single"/>
              </w:rPr>
              <w:t>（列举2~4种）</w:t>
            </w:r>
          </w:p>
          <w:p>
            <w:pPr>
              <w:shd w:val="clear" w:color="auto" w:fill="C7DAF1" w:themeFill="text2" w:themeFillTint="32"/>
              <w:rPr>
                <w:rFonts w:hint="eastAsia" w:ascii="Wingdings" w:hAnsi="Wingdings"/>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r>
              <w:rPr>
                <w:rFonts w:hint="eastAsia"/>
              </w:rPr>
              <w:t>特种设备管理：</w:t>
            </w:r>
            <w:r>
              <w:rPr>
                <w:rFonts w:hint="eastAsia" w:ascii="Wingdings" w:hAnsi="Wingdings"/>
              </w:rPr>
              <w:t>¨</w:t>
            </w:r>
          </w:p>
          <w:p>
            <w:pPr>
              <w:shd w:val="clear" w:color="auto" w:fill="C7DAF1" w:themeFill="text2" w:themeFillTint="32"/>
              <w:rPr>
                <w:rFonts w:hint="eastAsia"/>
                <w:lang w:val="en-US" w:eastAsia="zh-CN"/>
              </w:rPr>
            </w:pPr>
            <w:r>
              <w:rPr>
                <w:rFonts w:hint="eastAsia"/>
              </w:rPr>
              <w:t>进行了定期检验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val="en-US" w:eastAsia="zh-CN"/>
              </w:rPr>
              <w:t xml:space="preserve"> </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widowControl/>
              <w:spacing w:before="40"/>
              <w:jc w:val="left"/>
              <w:rPr>
                <w:rFonts w:hint="eastAsia" w:eastAsia="宋体"/>
                <w:u w:val="single"/>
                <w:lang w:eastAsia="zh-CN"/>
              </w:rPr>
            </w:pPr>
            <w:r>
              <w:rPr>
                <w:rFonts w:hint="eastAsia"/>
              </w:rPr>
              <w:t>计量器具管理：</w:t>
            </w:r>
            <w:r>
              <w:rPr>
                <w:rFonts w:hint="eastAsia"/>
                <w:lang w:val="en-US" w:eastAsia="zh-CN"/>
              </w:rPr>
              <w:t>常规计量器具（</w:t>
            </w:r>
            <w:r>
              <w:rPr>
                <w:rFonts w:hint="eastAsia"/>
                <w:color w:val="auto"/>
                <w:sz w:val="21"/>
                <w:szCs w:val="21"/>
              </w:rPr>
              <w:t>游标卡尺、卷尺、外径千分尺</w:t>
            </w:r>
            <w:r>
              <w:rPr>
                <w:rFonts w:hint="eastAsia"/>
                <w:color w:val="auto"/>
                <w:sz w:val="21"/>
                <w:szCs w:val="21"/>
                <w:lang w:val="en-US" w:eastAsia="zh-CN"/>
              </w:rPr>
              <w:t>等</w:t>
            </w:r>
            <w:r>
              <w:rPr>
                <w:rFonts w:hint="eastAsia"/>
                <w:lang w:val="en-US" w:eastAsia="zh-CN"/>
              </w:rPr>
              <w:t>）</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eastAsia" w:eastAsia="宋体"/>
                <w:lang w:val="en-US" w:eastAsia="zh-CN"/>
              </w:rPr>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val="en-US"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rFonts w:hint="eastAsia" w:eastAsia="宋体"/>
                <w:lang w:eastAsia="zh-CN"/>
              </w:rPr>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lang w:eastAsia="zh-CN"/>
              </w:rPr>
              <w:t>（</w:t>
            </w:r>
            <w:r>
              <w:rPr>
                <w:rFonts w:hint="eastAsia"/>
                <w:lang w:val="en-US" w:eastAsia="zh-CN"/>
              </w:rPr>
              <w:t>表面处理</w:t>
            </w:r>
            <w:r>
              <w:rPr>
                <w:rFonts w:hint="eastAsia"/>
                <w:lang w:eastAsia="zh-CN"/>
              </w:rPr>
              <w:t>）</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38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shd w:val="clear" w:color="auto" w:fill="C7DAF1" w:themeFill="text2" w:themeFillTint="32"/>
                    <w:jc w:val="left"/>
                  </w:pPr>
                  <w:r>
                    <w:rPr>
                      <w:rFonts w:hint="eastAsia"/>
                    </w:rPr>
                    <w:t>产品/服务名称</w:t>
                  </w:r>
                </w:p>
              </w:tc>
              <w:tc>
                <w:tcPr>
                  <w:tcW w:w="3382"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r>
                    <w:t>Q：认可：电力铁附件、电力金具、井圈、井盖、标志牌、钢绞线的生产及线路辅助材料、螺栓、通信抱杆、变压器、绝缘子、钢管、配电箱的销售</w:t>
                  </w:r>
                </w:p>
                <w:p>
                  <w:r>
                    <w:t>未认可：塑料管材的生产</w:t>
                  </w:r>
                </w:p>
                <w:p>
                  <w:pPr>
                    <w:shd w:val="clear" w:color="auto" w:fill="C7DAF1" w:themeFill="text2" w:themeFillTint="32"/>
                    <w:jc w:val="left"/>
                  </w:pPr>
                </w:p>
              </w:tc>
              <w:tc>
                <w:tcPr>
                  <w:tcW w:w="3382" w:type="dxa"/>
                </w:tcPr>
                <w:p>
                  <w:pPr>
                    <w:shd w:val="clear" w:color="auto" w:fill="C7DAF1" w:themeFill="text2" w:themeFillTint="32"/>
                    <w:jc w:val="left"/>
                    <w:rPr>
                      <w:rFonts w:hint="default" w:eastAsia="宋体"/>
                      <w:lang w:val="en-US" w:eastAsia="zh-CN"/>
                    </w:rPr>
                  </w:pPr>
                  <w:r>
                    <w:rPr>
                      <w:rFonts w:hint="eastAsia"/>
                      <w:lang w:val="en-US" w:eastAsia="zh-CN"/>
                    </w:rPr>
                    <w:t>机械加工、销售、表面处理（外包）、组装，原材料控制、过程检验、出厂检验</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尺寸、镀层质量、断裂伸长率等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shd w:val="clear" w:color="auto" w:fill="C7DAF1" w:themeFill="text2" w:themeFillTint="32"/>
                    <w:jc w:val="left"/>
                  </w:pPr>
                </w:p>
              </w:tc>
              <w:tc>
                <w:tcPr>
                  <w:tcW w:w="3382"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shd w:val="clear" w:color="auto" w:fill="C7DAF1" w:themeFill="text2" w:themeFillTint="32"/>
                    <w:jc w:val="left"/>
                  </w:pPr>
                </w:p>
              </w:tc>
              <w:tc>
                <w:tcPr>
                  <w:tcW w:w="3382"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焊接、挤出、注塑、销售</w:t>
            </w:r>
            <w:r>
              <w:rPr>
                <w:rFonts w:hint="eastAsia"/>
              </w:rPr>
              <w:t>，</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lang w:val="en-US"/>
              </w:rPr>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eastAsia="宋体"/>
                <w:lang w:eastAsia="zh-CN"/>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rPr>
                <w:rFonts w:hint="eastAsia" w:eastAsia="宋体"/>
                <w:lang w:val="en-US" w:eastAsia="zh-CN"/>
              </w:rPr>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lang w:eastAsia="zh-CN"/>
              </w:rPr>
              <w:t>☑</w:t>
            </w:r>
            <w:r>
              <w:rPr>
                <w:rFonts w:hint="eastAsia"/>
              </w:rPr>
              <w:t>生产/服务过程</w:t>
            </w:r>
            <w:r>
              <w:rPr>
                <w:rFonts w:hint="eastAsia"/>
                <w:lang w:eastAsia="zh-CN"/>
              </w:rPr>
              <w:t>（</w:t>
            </w:r>
            <w:r>
              <w:rPr>
                <w:rFonts w:hint="eastAsia"/>
                <w:lang w:val="en-US" w:eastAsia="zh-CN"/>
              </w:rPr>
              <w:t>表面处理</w:t>
            </w:r>
            <w:r>
              <w:rPr>
                <w:rFonts w:hint="eastAsia"/>
                <w:lang w:eastAsia="zh-CN"/>
              </w:rPr>
              <w:t>）</w:t>
            </w:r>
            <w:r>
              <w:rPr>
                <w:rFonts w:hint="eastAsia"/>
              </w:rPr>
              <w:t>□环保监测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jc w:val="center"/>
              <w:rPr>
                <w:rFonts w:hint="eastAsia" w:ascii="宋体" w:hAnsi="宋体"/>
                <w:sz w:val="24"/>
                <w:lang w:val="en-US" w:eastAsia="zh-CN"/>
              </w:rPr>
            </w:pPr>
            <w:r>
              <w:rPr>
                <w:rFonts w:hint="eastAsia" w:ascii="宋体" w:hAnsi="宋体"/>
                <w:sz w:val="24"/>
                <w:lang w:val="en-US" w:eastAsia="zh-CN"/>
              </w:rPr>
              <w:t>通过持续改进，确保顾客始终满意是我们永恒的追求；</w:t>
            </w:r>
          </w:p>
          <w:p>
            <w:pPr>
              <w:spacing w:line="400" w:lineRule="exact"/>
              <w:jc w:val="center"/>
              <w:rPr>
                <w:rFonts w:hint="eastAsia" w:ascii="宋体" w:hAnsi="宋体"/>
                <w:sz w:val="24"/>
              </w:rPr>
            </w:pPr>
            <w:r>
              <w:rPr>
                <w:rFonts w:hint="eastAsia" w:ascii="宋体" w:hAnsi="宋体"/>
                <w:sz w:val="24"/>
              </w:rPr>
              <w:t>预防污染，达标排放，节能降耗，建设绿色环保型企业；</w:t>
            </w:r>
          </w:p>
          <w:p>
            <w:pPr>
              <w:widowControl/>
              <w:spacing w:before="40"/>
              <w:ind w:firstLine="1200" w:firstLineChars="500"/>
              <w:jc w:val="left"/>
              <w:rPr>
                <w:u w:val="single"/>
              </w:rPr>
            </w:pPr>
            <w:r>
              <w:rPr>
                <w:rFonts w:hint="eastAsia" w:ascii="宋体" w:hAnsi="宋体"/>
                <w:sz w:val="24"/>
              </w:rPr>
              <w:t>安全第一，预防为主，有法可依，员工的安全</w:t>
            </w:r>
            <w:r>
              <w:rPr>
                <w:rFonts w:hint="eastAsia" w:ascii="宋体" w:hAnsi="宋体"/>
                <w:sz w:val="24"/>
                <w:lang w:val="en-US" w:eastAsia="zh-CN"/>
              </w:rPr>
              <w:t>健康至上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270" w:lineRule="exact"/>
                  </w:pPr>
                  <w:r>
                    <w:rPr>
                      <w:rFonts w:hint="eastAsia"/>
                    </w:rPr>
                    <w:t>1.物流对产品储藏的特殊要求（防火防爆防雷防静电等），相关检查维护制度没有建立。</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2.没有对工作环境进行日常的检查维护。</w:t>
                  </w:r>
                </w:p>
              </w:tc>
              <w:tc>
                <w:tcPr>
                  <w:tcW w:w="3965" w:type="dxa"/>
                  <w:vAlign w:val="top"/>
                </w:tcPr>
                <w:p>
                  <w:pPr>
                    <w:spacing w:line="270" w:lineRule="exact"/>
                  </w:pPr>
                  <w:r>
                    <w:rPr>
                      <w:rFonts w:hint="eastAsia"/>
                    </w:rPr>
                    <w:t>每年至少安排对仓库及物流车辆工作环境检测一次，以验证工作区域是否符合要求。</w:t>
                  </w:r>
                </w:p>
                <w:p>
                  <w:pPr>
                    <w:spacing w:line="270" w:lineRule="exact"/>
                  </w:pPr>
                  <w:r>
                    <w:rPr>
                      <w:rFonts w:hint="eastAsia"/>
                    </w:rPr>
                    <w:t>2.建立维护保养计划，以确保工作环境得到了维护、保养和检查。</w:t>
                  </w:r>
                </w:p>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1.物品放置环境不符合要求，导致影响其质量。2.标识不清楚，导致是用错材料。</w:t>
                  </w:r>
                </w:p>
              </w:tc>
              <w:tc>
                <w:tcPr>
                  <w:tcW w:w="3965" w:type="dxa"/>
                  <w:vAlign w:val="top"/>
                </w:tcPr>
                <w:p>
                  <w:pPr>
                    <w:spacing w:line="270" w:lineRule="exact"/>
                  </w:pPr>
                  <w:r>
                    <w:rPr>
                      <w:rFonts w:hint="eastAsia"/>
                    </w:rPr>
                    <w:t>1.运行环境的先期策划及定期更新。</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2.库存物资每一项都做好标识。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基础设施配备不足，影响销售。</w:t>
                  </w:r>
                </w:p>
              </w:tc>
              <w:tc>
                <w:tcPr>
                  <w:tcW w:w="3965" w:type="dxa"/>
                  <w:vAlign w:val="top"/>
                </w:tcPr>
                <w:p>
                  <w:pPr>
                    <w:spacing w:line="270" w:lineRule="exact"/>
                  </w:pPr>
                  <w:r>
                    <w:rPr>
                      <w:rFonts w:hint="eastAsia"/>
                    </w:rPr>
                    <w:t>建立完整的基础设施故障应急预案，</w:t>
                  </w:r>
                </w:p>
                <w:p>
                  <w:pPr>
                    <w:spacing w:line="270" w:lineRule="exact"/>
                  </w:pPr>
                  <w:r>
                    <w:rPr>
                      <w:rFonts w:hint="eastAsia"/>
                    </w:rPr>
                    <w:t>以确保销售过程的持续流畅。</w:t>
                  </w:r>
                </w:p>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宋体" w:hAnsi="宋体" w:eastAsia="宋体" w:cs="宋体"/>
                      <w:sz w:val="24"/>
                    </w:rPr>
                    <w:t>固废处理达标排放</w:t>
                  </w:r>
                  <w:r>
                    <w:rPr>
                      <w:rFonts w:hint="eastAsia"/>
                    </w:rPr>
                    <w:t>。</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imes New Roman" w:hAnsi="Times New Roman" w:cs="Times New Roman"/>
                    </w:rPr>
                    <w:t>固体废弃物能及时进行分类</w:t>
                  </w:r>
                  <w:r>
                    <w:rPr>
                      <w:rFonts w:hint="eastAsia" w:ascii="Times New Roman" w:hAnsi="Times New Roman" w:cs="Times New Roman"/>
                      <w:lang w:eastAsia="zh-CN"/>
                    </w:rPr>
                    <w:t>、</w:t>
                  </w:r>
                  <w:r>
                    <w:rPr>
                      <w:rFonts w:hint="eastAsia" w:ascii="Times New Roman" w:hAnsi="Times New Roman" w:cs="Times New Roman"/>
                    </w:rPr>
                    <w:t>收集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rPr>
                      <w:rFonts w:ascii="Times New Roman" w:hAnsi="Times New Roman" w:eastAsia="宋体" w:cs="Times New Roman"/>
                      <w:kern w:val="2"/>
                      <w:sz w:val="21"/>
                      <w:szCs w:val="24"/>
                      <w:lang w:val="en-US" w:eastAsia="zh-CN" w:bidi="ar-SA"/>
                    </w:rPr>
                  </w:pPr>
                  <w:r>
                    <w:rPr>
                      <w:rFonts w:hint="eastAsia" w:ascii="宋体" w:hAnsi="宋体" w:eastAsia="宋体" w:cs="宋体"/>
                      <w:sz w:val="24"/>
                      <w:lang w:val="en-US" w:eastAsia="zh-CN"/>
                    </w:rPr>
                    <w:t>噪声、废气达标排放</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据实统计</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1800"/>
                    </w:tabs>
                    <w:spacing w:line="360" w:lineRule="auto"/>
                  </w:pPr>
                  <w:r>
                    <w:rPr>
                      <w:rFonts w:hint="eastAsia" w:ascii="宋体" w:hAnsi="宋体" w:eastAsia="宋体" w:cs="宋体"/>
                      <w:sz w:val="24"/>
                    </w:rPr>
                    <w:t>火灾事故发生率为0</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据实统计</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4000</w:t>
            </w:r>
            <w:r>
              <w:rPr>
                <w:rFonts w:hint="eastAsia"/>
              </w:rPr>
              <w:t>平方米；生产车间</w:t>
            </w:r>
            <w:r>
              <w:rPr>
                <w:rFonts w:hint="eastAsia"/>
                <w:lang w:val="en-US" w:eastAsia="zh-CN"/>
              </w:rPr>
              <w:t>1</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ascii="楷体" w:hAnsi="楷体" w:eastAsia="楷体" w:cs="楷体"/>
                <w:sz w:val="21"/>
                <w:szCs w:val="21"/>
              </w:rPr>
              <w:t>电焊机、切割机、折弯机、塑料挤出机、注塑机、绞线机、压力机</w:t>
            </w:r>
            <w:r>
              <w:rPr>
                <w:rFonts w:hint="eastAsia"/>
                <w:color w:val="000000"/>
                <w:u w:val="single"/>
                <w:lang w:val="en-US" w:eastAsia="zh-CN"/>
              </w:rPr>
              <w:t>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焊烟收集装置</w:t>
            </w:r>
            <w:r>
              <w:rPr>
                <w:rFonts w:hint="eastAsia"/>
                <w:u w:val="single"/>
              </w:rPr>
              <w:t>（列举2~4种）</w:t>
            </w:r>
          </w:p>
          <w:p>
            <w:pPr>
              <w:shd w:val="clear" w:color="auto" w:fill="EBF1DE" w:themeFill="accent3" w:themeFillTint="32"/>
              <w:rPr>
                <w:rFonts w:hint="eastAsia" w:eastAsia="宋体"/>
                <w:lang w:eastAsia="zh-CN"/>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u w:val="single"/>
                <w:lang w:val="en-US" w:eastAsia="zh-CN"/>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rPr>
              <w:t>顾客的环境要求为：</w:t>
            </w:r>
            <w:r>
              <w:rPr>
                <w:rFonts w:hint="eastAsia" w:ascii="Wingdings" w:hAnsi="Wingdings"/>
                <w:lang w:val="en-US" w:eastAsia="zh-CN"/>
              </w:rPr>
              <w:t xml:space="preserve"> </w:t>
            </w:r>
            <w:r>
              <w:rPr>
                <w:rFonts w:hint="eastAsia"/>
              </w:rPr>
              <w:t>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rPr>
                <w:rFonts w:hint="eastAsia" w:eastAsia="宋体"/>
                <w:lang w:eastAsia="zh-CN"/>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shd w:val="clear" w:color="auto" w:fill="EBF1DE" w:themeFill="accent3" w:themeFillTint="32"/>
              <w:jc w:val="left"/>
              <w:rPr>
                <w:rFonts w:hint="eastAsia" w:eastAsia="宋体"/>
                <w:lang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潜在火灾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环境管理方案、应急预案、运行控制</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废气的排放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环境管理方案、运行控制、安装</w:t>
                  </w:r>
                  <w:r>
                    <w:rPr>
                      <w:rFonts w:hint="eastAsia" w:ascii="Times New Roman" w:hAnsi="Times New Roman" w:cs="Times New Roman"/>
                      <w:lang w:val="en-US" w:eastAsia="zh-CN"/>
                    </w:rPr>
                    <w:t>移动集气罩</w:t>
                  </w:r>
                  <w:r>
                    <w:rPr>
                      <w:rFonts w:hint="eastAsia" w:ascii="Times New Roman" w:hAnsi="Times New Roman" w:cs="Times New Roman"/>
                      <w:lang w:eastAsia="zh-CN"/>
                    </w:rPr>
                    <w:t>组织排放</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噪声排放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环境管理方案、个体防护、运行控制</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固体废物排放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环境管理方案、运行控制，由供方回收、</w:t>
                  </w:r>
                  <w:r>
                    <w:rPr>
                      <w:rFonts w:hint="eastAsia" w:ascii="Times New Roman" w:hAnsi="Times New Roman" w:cs="Times New Roman"/>
                      <w:lang w:val="en-US" w:eastAsia="zh-CN"/>
                    </w:rPr>
                    <w:t>收集集中处理</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能源消耗</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环境管理方案、运行控制</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EBF1DE" w:themeFill="accent3" w:themeFillTint="32"/>
                    <w:jc w:val="left"/>
                  </w:pPr>
                </w:p>
              </w:tc>
              <w:tc>
                <w:tcPr>
                  <w:tcW w:w="3665" w:type="dxa"/>
                  <w:vAlign w:val="center"/>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特种设备检测报告，如：</w:t>
            </w:r>
            <w:r>
              <w:rPr>
                <w:rFonts w:hint="eastAsia"/>
                <w:lang w:val="en-US" w:eastAsia="zh-CN"/>
              </w:rPr>
              <w:t>5吨天车，检测报告：</w:t>
            </w:r>
            <w:r>
              <w:rPr>
                <w:rFonts w:hint="eastAsia"/>
              </w:rPr>
              <w:t>冀特QZDJ17202210882</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eastAsia="宋体"/>
                <w:lang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eastAsia="宋体"/>
                <w:lang w:eastAsia="zh-CN"/>
              </w:rPr>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eastAsia" w:eastAsia="宋体"/>
                <w:lang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lang w:eastAsia="zh-CN"/>
              </w:rPr>
              <w:t>☑</w:t>
            </w:r>
            <w:r>
              <w:rPr>
                <w:rFonts w:hint="eastAsia"/>
              </w:rPr>
              <w:t>生产/服务过程</w:t>
            </w:r>
            <w:r>
              <w:rPr>
                <w:rFonts w:hint="eastAsia"/>
                <w:lang w:eastAsia="zh-CN"/>
              </w:rPr>
              <w:t>（</w:t>
            </w:r>
            <w:r>
              <w:rPr>
                <w:rFonts w:hint="eastAsia"/>
                <w:lang w:val="en-US" w:eastAsia="zh-CN"/>
              </w:rPr>
              <w:t>表面处理</w:t>
            </w:r>
            <w:r>
              <w:rPr>
                <w:rFonts w:hint="eastAsia"/>
                <w:lang w:eastAsia="zh-CN"/>
              </w:rPr>
              <w:t>）□</w:t>
            </w:r>
            <w:r>
              <w:rPr>
                <w:rFonts w:hint="eastAsia"/>
              </w:rPr>
              <w:t>安全监测</w:t>
            </w:r>
            <w:r>
              <w:rPr>
                <w:rFonts w:hint="eastAsia"/>
                <w:lang w:eastAsia="zh-CN"/>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400" w:lineRule="exact"/>
              <w:jc w:val="center"/>
              <w:rPr>
                <w:rFonts w:hint="eastAsia" w:ascii="宋体" w:hAnsi="宋体"/>
                <w:sz w:val="24"/>
                <w:lang w:val="en-US" w:eastAsia="zh-CN"/>
              </w:rPr>
            </w:pPr>
            <w:r>
              <w:rPr>
                <w:rFonts w:hint="eastAsia" w:ascii="宋体" w:hAnsi="宋体"/>
                <w:sz w:val="24"/>
                <w:lang w:val="en-US" w:eastAsia="zh-CN"/>
              </w:rPr>
              <w:t>通过持续改进，确保顾客始终满意是我们永恒的追求；</w:t>
            </w:r>
          </w:p>
          <w:p>
            <w:pPr>
              <w:spacing w:line="400" w:lineRule="exact"/>
              <w:jc w:val="center"/>
              <w:rPr>
                <w:rFonts w:hint="eastAsia" w:ascii="宋体" w:hAnsi="宋体"/>
                <w:sz w:val="24"/>
              </w:rPr>
            </w:pPr>
            <w:r>
              <w:rPr>
                <w:rFonts w:hint="eastAsia" w:ascii="宋体" w:hAnsi="宋体"/>
                <w:sz w:val="24"/>
              </w:rPr>
              <w:t>预防污染，达标排放，节能降耗，建设绿色环保型企业；</w:t>
            </w:r>
          </w:p>
          <w:p>
            <w:pPr>
              <w:ind w:firstLine="1200" w:firstLineChars="500"/>
              <w:rPr>
                <w:u w:val="single"/>
              </w:rPr>
            </w:pPr>
            <w:r>
              <w:rPr>
                <w:rFonts w:hint="eastAsia" w:ascii="宋体" w:hAnsi="宋体"/>
                <w:sz w:val="24"/>
              </w:rPr>
              <w:t>安全第一，预防为主，有法可依，员工的安全</w:t>
            </w:r>
            <w:r>
              <w:rPr>
                <w:rFonts w:hint="eastAsia" w:ascii="宋体" w:hAnsi="宋体"/>
                <w:sz w:val="24"/>
                <w:lang w:val="en-US" w:eastAsia="zh-CN"/>
              </w:rPr>
              <w:t>健康至上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生技部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解晶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法律法规内容变化</w:t>
                  </w:r>
                </w:p>
              </w:tc>
              <w:tc>
                <w:tcPr>
                  <w:tcW w:w="3965" w:type="dxa"/>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定期检查公司所执行的法律法规，对新的法律法规进行分析，对适用于本公司的条款实施控制</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金融、融资政策的变化</w:t>
                  </w:r>
                </w:p>
              </w:tc>
              <w:tc>
                <w:tcPr>
                  <w:tcW w:w="3965" w:type="dxa"/>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rPr>
                    <w:t>财务部关注相关因素的变化。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ascii="Times New Roman" w:hAnsi="Times New Roman" w:eastAsia="宋体" w:cs="Times New Roman"/>
                      <w:kern w:val="2"/>
                      <w:sz w:val="21"/>
                      <w:szCs w:val="24"/>
                      <w:lang w:val="en-US" w:eastAsia="zh-CN" w:bidi="ar-SA"/>
                    </w:rPr>
                  </w:pPr>
                  <w:r>
                    <w:rPr>
                      <w:rFonts w:hint="eastAsia" w:ascii="Times New Roman" w:hAnsi="Times New Roman" w:cs="Times New Roman"/>
                    </w:rPr>
                    <w:t>环保、安全资金不到位</w:t>
                  </w:r>
                </w:p>
              </w:tc>
              <w:tc>
                <w:tcPr>
                  <w:tcW w:w="3965" w:type="dxa"/>
                  <w:vAlign w:val="center"/>
                </w:tcPr>
                <w:p>
                  <w:pPr>
                    <w:rPr>
                      <w:rFonts w:ascii="Times New Roman" w:hAnsi="Times New Roman" w:eastAsia="宋体" w:cs="Times New Roman"/>
                      <w:kern w:val="2"/>
                      <w:sz w:val="21"/>
                      <w:szCs w:val="24"/>
                      <w:lang w:val="en-US" w:eastAsia="zh-CN" w:bidi="ar-SA"/>
                    </w:rPr>
                  </w:pPr>
                  <w:r>
                    <w:rPr>
                      <w:rFonts w:hint="eastAsia" w:ascii="Times New Roman" w:hAnsi="Times New Roman" w:cs="Times New Roman"/>
                    </w:rPr>
                    <w:t>根据公司环保、安全投入需要，制定资金使用计划</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spacing w:line="360" w:lineRule="auto"/>
                    <w:jc w:val="left"/>
                    <w:rPr>
                      <w:rFonts w:ascii="Times New Roman" w:hAnsi="Times New Roman" w:eastAsia="宋体" w:cs="Times New Roman"/>
                      <w:kern w:val="2"/>
                      <w:sz w:val="21"/>
                      <w:szCs w:val="24"/>
                      <w:lang w:val="en-US" w:eastAsia="zh-CN" w:bidi="ar-SA"/>
                    </w:rPr>
                  </w:pPr>
                  <w:r>
                    <w:rPr>
                      <w:rFonts w:ascii="宋体" w:hAnsi="宋体" w:cs="黑体"/>
                      <w:bCs/>
                      <w:kern w:val="0"/>
                      <w:sz w:val="24"/>
                    </w:rPr>
                    <w:t>1.</w:t>
                  </w:r>
                  <w:r>
                    <w:rPr>
                      <w:rFonts w:hint="eastAsia" w:ascii="宋体" w:hAnsi="宋体" w:cs="黑体"/>
                      <w:bCs/>
                      <w:kern w:val="0"/>
                      <w:sz w:val="24"/>
                      <w:lang w:val="en-US" w:eastAsia="zh-CN"/>
                    </w:rPr>
                    <w:t>重大安全事故0</w:t>
                  </w:r>
                  <w:r>
                    <w:rPr>
                      <w:rFonts w:hint="eastAsia" w:ascii="宋体" w:hAnsi="宋体" w:cs="黑体"/>
                      <w:bCs/>
                      <w:kern w:val="0"/>
                      <w:sz w:val="24"/>
                    </w:rPr>
                    <w:t>。</w:t>
                  </w:r>
                </w:p>
              </w:tc>
              <w:tc>
                <w:tcPr>
                  <w:tcW w:w="3136"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lang w:val="en-GB" w:eastAsia="zh-CN"/>
                    </w:rPr>
                    <w:t>据实统计</w:t>
                  </w:r>
                </w:p>
              </w:tc>
              <w:tc>
                <w:tcPr>
                  <w:tcW w:w="1350"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办公室、</w:t>
                  </w:r>
                </w:p>
                <w:p>
                  <w:pPr>
                    <w:rPr>
                      <w:rFonts w:hint="eastAsia" w:ascii="Times New Roman" w:hAnsi="Times New Roman" w:eastAsia="宋体" w:cs="Times New Roman"/>
                      <w:kern w:val="2"/>
                      <w:sz w:val="21"/>
                      <w:szCs w:val="24"/>
                      <w:lang w:val="en-GB" w:eastAsia="zh-CN" w:bidi="ar-SA"/>
                    </w:rPr>
                  </w:pPr>
                  <w:r>
                    <w:rPr>
                      <w:rFonts w:hint="eastAsia" w:ascii="Times New Roman" w:hAnsi="Times New Roman" w:eastAsia="宋体" w:cs="Times New Roman"/>
                      <w:lang w:val="en-GB" w:eastAsia="zh-CN"/>
                    </w:rPr>
                    <w:t>生</w:t>
                  </w:r>
                  <w:r>
                    <w:rPr>
                      <w:rFonts w:hint="eastAsia" w:cs="Times New Roman"/>
                      <w:lang w:val="en-GB" w:eastAsia="zh-CN"/>
                    </w:rPr>
                    <w:t>产</w:t>
                  </w:r>
                  <w:r>
                    <w:rPr>
                      <w:rFonts w:hint="eastAsia" w:ascii="Times New Roman" w:hAnsi="Times New Roman" w:eastAsia="宋体" w:cs="Times New Roman"/>
                      <w:lang w:val="en-GB" w:eastAsia="zh-CN"/>
                    </w:rPr>
                    <w:t>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GB"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spacing w:line="360" w:lineRule="auto"/>
                    <w:jc w:val="left"/>
                    <w:rPr>
                      <w:rFonts w:ascii="Times New Roman" w:hAnsi="Times New Roman" w:eastAsia="宋体" w:cs="Times New Roman"/>
                      <w:kern w:val="2"/>
                      <w:sz w:val="21"/>
                      <w:szCs w:val="24"/>
                      <w:lang w:val="en-US" w:eastAsia="zh-CN" w:bidi="ar-SA"/>
                    </w:rPr>
                  </w:pPr>
                  <w:r>
                    <w:rPr>
                      <w:rFonts w:ascii="宋体" w:hAnsi="宋体" w:cs="黑体"/>
                      <w:bCs/>
                      <w:kern w:val="0"/>
                      <w:sz w:val="24"/>
                    </w:rPr>
                    <w:t>3.</w:t>
                  </w:r>
                  <w:r>
                    <w:rPr>
                      <w:rFonts w:hint="eastAsia" w:ascii="宋体" w:hAnsi="宋体" w:cs="黑体"/>
                      <w:bCs/>
                      <w:kern w:val="0"/>
                      <w:sz w:val="24"/>
                    </w:rPr>
                    <w:t>火灾事故发生率为</w:t>
                  </w:r>
                  <w:r>
                    <w:rPr>
                      <w:rFonts w:ascii="宋体" w:hAnsi="宋体" w:cs="黑体"/>
                      <w:bCs/>
                      <w:kern w:val="0"/>
                      <w:sz w:val="24"/>
                    </w:rPr>
                    <w:t>0</w:t>
                  </w:r>
                  <w:r>
                    <w:rPr>
                      <w:rFonts w:hint="eastAsia" w:ascii="宋体" w:hAnsi="宋体" w:cs="黑体"/>
                      <w:bCs/>
                      <w:kern w:val="0"/>
                      <w:sz w:val="24"/>
                    </w:rPr>
                    <w:t>。</w:t>
                  </w:r>
                </w:p>
              </w:tc>
              <w:tc>
                <w:tcPr>
                  <w:tcW w:w="3136"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GB" w:eastAsia="zh-CN"/>
                    </w:rPr>
                    <w:t>据实统计</w:t>
                  </w:r>
                </w:p>
              </w:tc>
              <w:tc>
                <w:tcPr>
                  <w:tcW w:w="1350" w:type="dxa"/>
                  <w:shd w:val="clear" w:color="auto" w:fill="auto"/>
                  <w:vAlign w:val="center"/>
                </w:tcPr>
                <w:p>
                  <w:pPr>
                    <w:rPr>
                      <w:rFonts w:hint="eastAsia" w:ascii="Times New Roman" w:hAnsi="Times New Roman" w:eastAsia="宋体" w:cs="Times New Roman"/>
                      <w:lang w:val="en-GB" w:eastAsia="zh-CN"/>
                    </w:rPr>
                  </w:pPr>
                  <w:r>
                    <w:rPr>
                      <w:rFonts w:hint="eastAsia" w:ascii="Times New Roman" w:hAnsi="Times New Roman" w:eastAsia="宋体" w:cs="Times New Roman"/>
                      <w:lang w:val="en-GB" w:eastAsia="zh-CN"/>
                    </w:rPr>
                    <w:t>办公室、</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GB" w:eastAsia="zh-CN"/>
                    </w:rPr>
                    <w:t>生</w:t>
                  </w:r>
                  <w:r>
                    <w:rPr>
                      <w:rFonts w:hint="eastAsia" w:cs="Times New Roman"/>
                      <w:lang w:val="en-GB" w:eastAsia="zh-CN"/>
                    </w:rPr>
                    <w:t>产</w:t>
                  </w:r>
                  <w:r>
                    <w:rPr>
                      <w:rFonts w:hint="eastAsia" w:ascii="Times New Roman" w:hAnsi="Times New Roman" w:eastAsia="宋体" w:cs="Times New Roman"/>
                      <w:lang w:val="en-GB" w:eastAsia="zh-CN"/>
                    </w:rPr>
                    <w:t>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spacing w:line="360" w:lineRule="auto"/>
                    <w:jc w:val="left"/>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rPr>
                      <w:rFonts w:hint="eastAsia" w:ascii="Times New Roman" w:hAnsi="Times New Roman" w:eastAsia="宋体" w:cs="Times New Roman"/>
                      <w:kern w:val="2"/>
                      <w:sz w:val="21"/>
                      <w:szCs w:val="24"/>
                      <w:lang w:val="en-GB" w:eastAsia="zh-CN" w:bidi="ar-SA"/>
                    </w:rPr>
                  </w:pP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pPr>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4000</w:t>
            </w:r>
            <w:r>
              <w:rPr>
                <w:rFonts w:hint="eastAsia"/>
              </w:rPr>
              <w:t>平方米；生产车间</w:t>
            </w:r>
            <w:r>
              <w:rPr>
                <w:rFonts w:hint="eastAsia"/>
                <w:lang w:val="en-US" w:eastAsia="zh-CN"/>
              </w:rPr>
              <w:t>1</w:t>
            </w:r>
            <w:r>
              <w:rPr>
                <w:rFonts w:hint="eastAsia"/>
              </w:rPr>
              <w:t>个；库房个；实验室个；</w:t>
            </w:r>
          </w:p>
          <w:p>
            <w:pPr>
              <w:widowControl/>
              <w:spacing w:before="40"/>
              <w:jc w:val="left"/>
              <w:rPr>
                <w:u w:val="single"/>
              </w:rPr>
            </w:pPr>
            <w:r>
              <w:rPr>
                <w:rFonts w:hint="eastAsia"/>
              </w:rPr>
              <w:t>主要生产设备有：</w:t>
            </w:r>
            <w:r>
              <w:rPr>
                <w:rFonts w:hint="eastAsia" w:ascii="楷体" w:hAnsi="楷体" w:eastAsia="楷体" w:cs="楷体"/>
                <w:sz w:val="21"/>
                <w:szCs w:val="21"/>
              </w:rPr>
              <w:t>电焊机、切割机、折弯机、塑料挤出机、注塑机、绞线机、压力机</w:t>
            </w:r>
            <w:r>
              <w:rPr>
                <w:rFonts w:hint="eastAsia"/>
                <w:color w:val="000000"/>
                <w:u w:val="single"/>
                <w:lang w:val="en-US" w:eastAsia="zh-CN"/>
              </w:rPr>
              <w:t>等</w:t>
            </w:r>
            <w:r>
              <w:rPr>
                <w:rFonts w:hint="eastAsia"/>
                <w:u w:val="single"/>
              </w:rPr>
              <w:t>（列举2~4种）</w:t>
            </w:r>
          </w:p>
          <w:p>
            <w:r>
              <w:rPr>
                <w:rFonts w:hint="eastAsia"/>
              </w:rPr>
              <w:t>主要安全装置有：</w:t>
            </w:r>
          </w:p>
          <w:p>
            <w:pPr>
              <w:rPr>
                <w:rFonts w:hint="eastAsia" w:eastAsia="宋体"/>
                <w:lang w:eastAsia="zh-CN"/>
              </w:rPr>
            </w:pPr>
            <w:r>
              <w:rPr>
                <w:rFonts w:hint="eastAsia" w:ascii="Wingdings" w:hAnsi="Wingdings"/>
                <w:lang w:val="en-US" w:eastAsia="zh-CN"/>
              </w:rPr>
              <w:t xml:space="preserve"> </w:t>
            </w:r>
            <w:r>
              <w:rPr>
                <w:rFonts w:hint="eastAsia" w:ascii="Wingdings" w:hAnsi="Wingdings"/>
              </w:rPr>
              <w:t>¨</w:t>
            </w:r>
            <w:r>
              <w:rPr>
                <w:rFonts w:hint="eastAsia"/>
              </w:rPr>
              <w:t>漏电开关</w:t>
            </w:r>
            <w:r>
              <w:rPr>
                <w:rFonts w:hint="eastAsia" w:ascii="Wingdings" w:hAnsi="Wingdings"/>
                <w:lang w:val="en-US" w:eastAsia="zh-CN"/>
              </w:rPr>
              <w:t xml:space="preserve"> </w:t>
            </w:r>
          </w:p>
          <w:p>
            <w:pPr>
              <w:rPr>
                <w:u w:val="single"/>
              </w:rPr>
            </w:pPr>
          </w:p>
          <w:p>
            <w:pPr>
              <w:rPr>
                <w:rFonts w:hint="eastAsia" w:eastAsia="宋体"/>
                <w:lang w:eastAsia="zh-CN"/>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ind w:firstLine="1050" w:firstLineChars="500"/>
              <w:rPr>
                <w:rFonts w:hint="eastAsia" w:eastAsia="宋体"/>
                <w:lang w:val="en-US" w:eastAsia="zh-CN"/>
              </w:rPr>
            </w:pPr>
            <w:r>
              <w:rPr>
                <w:rFonts w:hint="eastAsia"/>
              </w:rPr>
              <w:t>辅助场所：</w:t>
            </w:r>
            <w:r>
              <w:rPr>
                <w:rFonts w:hint="eastAsia" w:ascii="Wingdings" w:hAnsi="Wingdings"/>
                <w:lang w:val="en-US" w:eastAsia="zh-CN"/>
              </w:rPr>
              <w:t xml:space="preserve"> </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pPr>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p/>
          <w:p>
            <w:pPr>
              <w:rPr>
                <w:rFonts w:hint="eastAsia" w:eastAsia="宋体"/>
                <w:lang w:val="en-US" w:eastAsia="zh-CN"/>
              </w:rPr>
            </w:pPr>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lang w:val="en-US" w:eastAsia="zh-CN"/>
              </w:rPr>
              <w:t xml:space="preserve"> </w:t>
            </w:r>
          </w:p>
          <w:p>
            <w:pPr>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rPr>
              <w:t xml:space="preserve">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lang w:eastAsia="zh-CN"/>
              </w:rPr>
              <w:t>（</w:t>
            </w:r>
            <w:r>
              <w:rPr>
                <w:rFonts w:hint="eastAsia"/>
                <w:lang w:val="en-US" w:eastAsia="zh-CN"/>
              </w:rPr>
              <w:t>表面处理</w:t>
            </w:r>
            <w:r>
              <w:rPr>
                <w:rFonts w:hint="eastAsia"/>
                <w:lang w:eastAsia="zh-CN"/>
              </w:rPr>
              <w:t>）</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jc w:val="left"/>
              <w:rPr>
                <w:rFonts w:hint="eastAsia" w:eastAsia="宋体"/>
                <w:lang w:eastAsia="zh-CN"/>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lang w:eastAsia="zh-CN"/>
                    </w:rPr>
                    <w:t>☑</w:t>
                  </w:r>
                  <w:r>
                    <w:rPr>
                      <w:rFonts w:hint="eastAsia"/>
                    </w:rPr>
                    <w:t>安全装置□挂牌上锁管理</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lang w:eastAsia="zh-CN"/>
                    </w:rPr>
                    <w:t>☑</w:t>
                  </w:r>
                  <w:r>
                    <w:rPr>
                      <w:rFonts w:hint="eastAsia"/>
                    </w:rPr>
                    <w:t>漏电保护□绝缘用具检测</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lang w:eastAsia="zh-CN"/>
                    </w:rPr>
                    <w:t>☑</w:t>
                  </w:r>
                  <w:r>
                    <w:rPr>
                      <w:rFonts w:hint="eastAsia"/>
                    </w:rPr>
                    <w:t>除尘装置</w:t>
                  </w:r>
                  <w:r>
                    <w:rPr>
                      <w:rFonts w:hint="eastAsia"/>
                      <w:lang w:eastAsia="zh-CN"/>
                    </w:rPr>
                    <w:t>☑</w:t>
                  </w:r>
                  <w:r>
                    <w:rPr>
                      <w:rFonts w:hint="eastAsia"/>
                    </w:rPr>
                    <w:t>穿戴劳保用品（防尘面罩）</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lang w:eastAsia="zh-CN"/>
                    </w:rPr>
                    <w:t>☑</w:t>
                  </w:r>
                  <w:r>
                    <w:rPr>
                      <w:rFonts w:hint="eastAsia"/>
                    </w:rPr>
                    <w:t>空间隔离□穿戴劳保用品</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□定期检测□压力巡视</w:t>
                  </w: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t>□减少作业时间□空间隔离□防暑降温用品</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val="en-US" w:eastAsia="zh-CN"/>
                    </w:rPr>
                    <w:t>配备灭火器、培训、消防演习</w:t>
                  </w:r>
                </w:p>
              </w:tc>
              <w:tc>
                <w:tcPr>
                  <w:tcW w:w="2205" w:type="dxa"/>
                  <w:vAlign w:val="top"/>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rPr>
                <w:rFonts w:hint="eastAsia" w:eastAsia="宋体"/>
                <w:lang w:eastAsia="zh-CN"/>
              </w:rPr>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eastAsia="宋体"/>
                <w:u w:val="single"/>
                <w:lang w:eastAsia="zh-CN"/>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lang w:val="en-US" w:eastAsia="zh-CN"/>
              </w:rPr>
              <w:t xml:space="preserve"> </w:t>
            </w:r>
          </w:p>
          <w:p>
            <w:pPr>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r>
              <w:rPr>
                <w:rFonts w:hint="eastAsia"/>
              </w:rPr>
              <w:t>特种设备检测报告，如：</w:t>
            </w:r>
            <w:r>
              <w:rPr>
                <w:rFonts w:hint="eastAsia"/>
                <w:lang w:val="en-US" w:eastAsia="zh-CN"/>
              </w:rPr>
              <w:t>5吨天车，检测报告：</w:t>
            </w:r>
            <w:r>
              <w:rPr>
                <w:rFonts w:hint="eastAsia"/>
              </w:rPr>
              <w:t>冀特QZDJ17202210882</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pPr>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
            <w:r>
              <w:rPr>
                <w:rFonts w:hint="eastAsia"/>
              </w:rPr>
              <w:t>于</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eastAsia" w:eastAsia="宋体"/>
                <w:lang w:eastAsia="zh-CN"/>
              </w:rPr>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lang w:val="en-US" w:eastAsia="zh-CN"/>
              </w:rPr>
              <w:t xml:space="preserve"> </w:t>
            </w: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23</w:t>
            </w:r>
            <w:bookmarkStart w:id="34" w:name="_GoBack"/>
            <w:bookmarkEnd w:id="34"/>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6"/>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9"/>
      <w:pBdr>
        <w:bottom w:val="single" w:color="auto" w:sz="4" w:space="1"/>
      </w:pBdr>
      <w:spacing w:line="320" w:lineRule="exact"/>
      <w:ind w:firstLine="756" w:firstLineChars="400"/>
      <w:jc w:val="left"/>
      <w:rPr>
        <w:rStyle w:val="22"/>
        <w:rFonts w:hint="default"/>
      </w:rPr>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yZWEwNTJkZmJlNThmOGIyN2MwMTRiZTI2ODcwNWIifQ=="/>
  </w:docVars>
  <w:rsids>
    <w:rsidRoot w:val="00000000"/>
    <w:rsid w:val="0E846494"/>
    <w:rsid w:val="53E36B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unhideWhenUsed/>
    <w:qFormat/>
    <w:uiPriority w:val="99"/>
    <w:pPr>
      <w:spacing w:after="120" w:afterLines="0"/>
      <w:ind w:left="420" w:leftChars="200"/>
    </w:pPr>
  </w:style>
  <w:style w:type="paragraph" w:styleId="4">
    <w:name w:val="toc 3"/>
    <w:basedOn w:val="1"/>
    <w:next w:val="1"/>
    <w:unhideWhenUsed/>
    <w:qFormat/>
    <w:uiPriority w:val="39"/>
    <w:pPr>
      <w:spacing w:before="0" w:after="100" w:line="276" w:lineRule="auto"/>
      <w:ind w:left="440" w:firstLine="0" w:firstLineChars="0"/>
    </w:pPr>
    <w:rPr>
      <w:sz w:val="22"/>
      <w:szCs w:val="22"/>
    </w:rPr>
  </w:style>
  <w:style w:type="paragraph" w:styleId="6">
    <w:name w:val="Body Text"/>
    <w:basedOn w:val="1"/>
    <w:next w:val="5"/>
    <w:unhideWhenUsed/>
    <w:qFormat/>
    <w:uiPriority w:val="99"/>
    <w:pPr>
      <w:adjustRightInd w:val="0"/>
      <w:spacing w:line="312" w:lineRule="atLeast"/>
      <w:jc w:val="right"/>
    </w:p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customStyle="1" w:styleId="16">
    <w:name w:val="表格文字"/>
    <w:basedOn w:val="1"/>
    <w:qFormat/>
    <w:uiPriority w:val="0"/>
    <w:pPr>
      <w:spacing w:before="25" w:after="25"/>
    </w:pPr>
    <w:rPr>
      <w:bCs/>
      <w:spacing w:val="10"/>
    </w:rPr>
  </w:style>
  <w:style w:type="paragraph" w:styleId="17">
    <w:name w:val="List Paragraph"/>
    <w:basedOn w:val="1"/>
    <w:qFormat/>
    <w:uiPriority w:val="34"/>
    <w:pPr>
      <w:ind w:firstLine="420" w:firstLineChars="200"/>
    </w:pPr>
  </w:style>
  <w:style w:type="character" w:customStyle="1" w:styleId="18">
    <w:name w:val="页眉 Char1"/>
    <w:basedOn w:val="14"/>
    <w:link w:val="9"/>
    <w:qFormat/>
    <w:uiPriority w:val="99"/>
    <w:rPr>
      <w:rFonts w:ascii="Times New Roman" w:hAnsi="Times New Roman" w:eastAsia="宋体" w:cs="Times New Roman"/>
      <w:sz w:val="18"/>
      <w:szCs w:val="18"/>
    </w:rPr>
  </w:style>
  <w:style w:type="character" w:customStyle="1" w:styleId="19">
    <w:name w:val="页脚 Char"/>
    <w:basedOn w:val="14"/>
    <w:link w:val="8"/>
    <w:qFormat/>
    <w:uiPriority w:val="99"/>
    <w:rPr>
      <w:rFonts w:ascii="Times New Roman" w:hAnsi="Times New Roman" w:eastAsia="宋体" w:cs="Times New Roman"/>
      <w:sz w:val="18"/>
      <w:szCs w:val="18"/>
    </w:rPr>
  </w:style>
  <w:style w:type="character" w:customStyle="1" w:styleId="20">
    <w:name w:val="批注框文本 Char"/>
    <w:basedOn w:val="14"/>
    <w:link w:val="7"/>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18986</Words>
  <Characters>20254</Characters>
  <Lines>150</Lines>
  <Paragraphs>42</Paragraphs>
  <TotalTime>1</TotalTime>
  <ScaleCrop>false</ScaleCrop>
  <LinksUpToDate>false</LinksUpToDate>
  <CharactersWithSpaces>20447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2023-03-13T23:42:22Z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