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0167-2023-QEO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河北恒拓通信设备有限公司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2023年03月10日 上午至2023年03月10日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E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bookmarkStart w:id="19" w:name="S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en-US" w:eastAsia="zh-CN"/>
              </w:rPr>
              <w:t xml:space="preserve"> </w:t>
            </w: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color w:val="000000"/>
              </w:rPr>
            </w:pPr>
            <w:r>
              <w:rPr>
                <w:sz w:val="21"/>
                <w:szCs w:val="21"/>
              </w:rPr>
              <w:t>任丘市大河路北马区</w:t>
            </w: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1560"/>
        <w:gridCol w:w="345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1560" w:type="dxa"/>
            <w:vAlign w:val="center"/>
          </w:tcPr>
          <w:p>
            <w:pPr>
              <w:spacing w:line="240" w:lineRule="exact"/>
              <w:jc w:val="center"/>
              <w:rPr>
                <w:b/>
                <w:color w:val="000000"/>
                <w:szCs w:val="21"/>
              </w:rPr>
            </w:pPr>
            <w:r>
              <w:rPr>
                <w:rFonts w:hint="eastAsia"/>
                <w:szCs w:val="21"/>
              </w:rPr>
              <w:t>审核员注册证书号</w:t>
            </w:r>
          </w:p>
        </w:tc>
        <w:tc>
          <w:tcPr>
            <w:tcW w:w="345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156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2022-N1OHSMS-1244880</w:t>
            </w:r>
          </w:p>
        </w:tc>
        <w:tc>
          <w:tcPr>
            <w:tcW w:w="3450" w:type="dxa"/>
            <w:vAlign w:val="center"/>
          </w:tcPr>
          <w:p>
            <w:pPr>
              <w:spacing w:line="240" w:lineRule="exact"/>
              <w:jc w:val="center"/>
              <w:rPr>
                <w:b/>
                <w:color w:val="000000"/>
                <w:szCs w:val="21"/>
              </w:rPr>
            </w:pPr>
            <w:r>
              <w:rPr>
                <w:b/>
                <w:color w:val="000000"/>
                <w:szCs w:val="21"/>
              </w:rPr>
              <w:t>Q:14.02.01,17.11.03,17.12.03,17.12.05,29.12.00</w:t>
            </w:r>
          </w:p>
          <w:p>
            <w:pPr>
              <w:spacing w:line="240" w:lineRule="exact"/>
              <w:jc w:val="center"/>
              <w:rPr>
                <w:b/>
                <w:color w:val="000000"/>
                <w:szCs w:val="21"/>
              </w:rPr>
            </w:pPr>
            <w:r>
              <w:rPr>
                <w:b/>
                <w:color w:val="000000"/>
                <w:szCs w:val="21"/>
              </w:rPr>
              <w:t>E:14.02.01,17.11.03,17.12.03,17.12.05,29.12.00</w:t>
            </w:r>
          </w:p>
          <w:p>
            <w:pPr>
              <w:spacing w:line="240" w:lineRule="exact"/>
              <w:jc w:val="center"/>
              <w:rPr>
                <w:b/>
                <w:color w:val="000000"/>
                <w:szCs w:val="21"/>
              </w:rPr>
            </w:pPr>
            <w:r>
              <w:rPr>
                <w:b/>
                <w:color w:val="000000"/>
                <w:szCs w:val="21"/>
              </w:rPr>
              <w:t>O:14.02.01,17.11.03,17.12.03,17.12.05,29.12.00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156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3450" w:type="dxa"/>
            <w:vAlign w:val="center"/>
          </w:tcPr>
          <w:p>
            <w:pPr>
              <w:spacing w:line="240" w:lineRule="exact"/>
              <w:jc w:val="center"/>
              <w:rPr>
                <w:b/>
                <w:color w:val="000000"/>
                <w:szCs w:val="21"/>
              </w:rPr>
            </w:pPr>
            <w:r>
              <w:rPr>
                <w:b/>
                <w:color w:val="000000"/>
                <w:szCs w:val="21"/>
              </w:rPr>
              <w:t>Q:17.11.03,17.12.03,17.12.05,29.12.00</w:t>
            </w:r>
          </w:p>
          <w:p>
            <w:pPr>
              <w:spacing w:line="240" w:lineRule="exact"/>
              <w:jc w:val="center"/>
              <w:rPr>
                <w:b/>
                <w:color w:val="000000"/>
                <w:szCs w:val="21"/>
              </w:rPr>
            </w:pPr>
            <w:r>
              <w:rPr>
                <w:b/>
                <w:color w:val="000000"/>
                <w:szCs w:val="21"/>
              </w:rPr>
              <w:t>E:14.02.01,17.11.03,17.12.03,17.12.05,29.12.00</w:t>
            </w:r>
          </w:p>
          <w:p>
            <w:pPr>
              <w:spacing w:line="240" w:lineRule="exact"/>
              <w:jc w:val="center"/>
              <w:rPr>
                <w:b/>
                <w:color w:val="000000"/>
                <w:szCs w:val="21"/>
              </w:rPr>
            </w:pPr>
            <w:r>
              <w:rPr>
                <w:b/>
                <w:color w:val="000000"/>
                <w:szCs w:val="21"/>
              </w:rPr>
              <w:t>O:17.11.03,17.12.03,17.12.05,29.12.00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345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345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345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345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345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1560" w:type="dxa"/>
            <w:vAlign w:val="center"/>
          </w:tcPr>
          <w:p>
            <w:pPr>
              <w:rPr>
                <w:b/>
                <w:color w:val="000000"/>
                <w:szCs w:val="21"/>
              </w:rPr>
            </w:pPr>
            <w:r>
              <w:rPr>
                <w:rFonts w:hint="eastAsia"/>
                <w:b/>
                <w:color w:val="000000"/>
                <w:szCs w:val="21"/>
              </w:rPr>
              <w:t>工作单位</w:t>
            </w:r>
          </w:p>
        </w:tc>
        <w:tc>
          <w:tcPr>
            <w:tcW w:w="453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1560" w:type="dxa"/>
            <w:vAlign w:val="center"/>
          </w:tcPr>
          <w:p>
            <w:pPr>
              <w:rPr>
                <w:b/>
                <w:color w:val="000000"/>
                <w:szCs w:val="21"/>
              </w:rPr>
            </w:pPr>
          </w:p>
        </w:tc>
        <w:tc>
          <w:tcPr>
            <w:tcW w:w="453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1560" w:type="dxa"/>
            <w:vAlign w:val="center"/>
          </w:tcPr>
          <w:p>
            <w:pPr>
              <w:rPr>
                <w:b/>
                <w:color w:val="000000"/>
                <w:szCs w:val="21"/>
                <w:highlight w:val="green"/>
              </w:rPr>
            </w:pPr>
          </w:p>
        </w:tc>
        <w:tc>
          <w:tcPr>
            <w:tcW w:w="453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河北恒拓通信设备有限公司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任丘市经济技术开发区</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062550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生产地址"/>
            <w:bookmarkStart w:id="24" w:name="办公地址"/>
            <w:r>
              <w:rPr>
                <w:rFonts w:ascii="宋体"/>
                <w:b/>
                <w:color w:val="000000"/>
                <w:szCs w:val="21"/>
              </w:rPr>
              <w:t>任丘市大河路北马区</w:t>
            </w:r>
            <w:bookmarkEnd w:id="23"/>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062550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尹一冰</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15373364926</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解峰</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尹一冰</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r>
              <w:t>Q：认可：电力铁附件、电力金具、井圈、井盖、标志牌、钢绞线的生产及线路辅助材料、螺栓、通信抱杆、变压器、绝缘子、钢管、配电箱的销售</w:t>
            </w:r>
          </w:p>
          <w:p>
            <w:r>
              <w:t>未认可：塑料管材的生产</w:t>
            </w:r>
          </w:p>
          <w:p>
            <w:r>
              <w:t>E：电力铁附件、电力金具、井圈、井盖、标志牌、塑料管材、钢绞线的生产及线路辅助材料、螺栓、通信抱杆、变压器、绝缘子、钢管、配电箱的销售所涉及场所的相关环境管理活动</w:t>
            </w:r>
          </w:p>
          <w:p>
            <w:pPr>
              <w:tabs>
                <w:tab w:val="left" w:pos="360"/>
              </w:tabs>
              <w:ind w:left="360" w:hanging="360"/>
              <w:rPr>
                <w:rFonts w:ascii="宋体" w:hAnsi="宋体"/>
                <w:b/>
                <w:color w:val="000000"/>
                <w:szCs w:val="21"/>
              </w:rPr>
            </w:pPr>
            <w:r>
              <w:t>O：电力铁附件、电力金具、井圈、井盖、标志牌、塑料管材、钢绞线的生产及线路辅助材料、螺栓、通信抱杆、变压器、绝缘子、钢管、配电箱的销售所涉及场所的相关职业健康安全管理活动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default"/>
                <w:sz w:val="24"/>
                <w:szCs w:val="24"/>
                <w:lang w:val="en-US" w:eastAsia="zh-CN"/>
              </w:rPr>
            </w:pPr>
            <w:r>
              <w:rPr>
                <w:rFonts w:hint="eastAsia"/>
                <w:sz w:val="24"/>
                <w:szCs w:val="24"/>
              </w:rPr>
              <w:t>电力铁附件、电力金具：下料—冲压—表面处理</w:t>
            </w:r>
            <w:r>
              <w:rPr>
                <w:rFonts w:hint="eastAsia"/>
                <w:sz w:val="24"/>
                <w:szCs w:val="24"/>
                <w:lang w:eastAsia="zh-CN"/>
              </w:rPr>
              <w:t>（外包）</w:t>
            </w:r>
            <w:r>
              <w:rPr>
                <w:rFonts w:hint="eastAsia"/>
                <w:sz w:val="24"/>
                <w:szCs w:val="24"/>
              </w:rPr>
              <w:t>—装配</w:t>
            </w:r>
            <w:r>
              <w:rPr>
                <w:rFonts w:hint="eastAsia"/>
                <w:sz w:val="24"/>
                <w:szCs w:val="24"/>
                <w:lang w:eastAsia="zh-CN"/>
              </w:rPr>
              <w:t>—</w:t>
            </w:r>
            <w:r>
              <w:rPr>
                <w:rFonts w:hint="eastAsia"/>
                <w:sz w:val="24"/>
                <w:szCs w:val="24"/>
                <w:lang w:val="en-US" w:eastAsia="zh-CN"/>
              </w:rPr>
              <w:t>成品</w:t>
            </w:r>
          </w:p>
          <w:p>
            <w:pPr>
              <w:spacing w:line="360" w:lineRule="auto"/>
              <w:rPr>
                <w:rFonts w:hint="eastAsia"/>
                <w:sz w:val="24"/>
                <w:szCs w:val="24"/>
                <w:lang w:eastAsia="zh-CN"/>
              </w:rPr>
            </w:pPr>
            <w:r>
              <w:rPr>
                <w:rFonts w:hint="eastAsia"/>
                <w:sz w:val="24"/>
                <w:szCs w:val="24"/>
              </w:rPr>
              <w:t>井圈、井盖</w:t>
            </w:r>
            <w:r>
              <w:rPr>
                <w:rFonts w:hint="eastAsia"/>
                <w:sz w:val="24"/>
                <w:szCs w:val="24"/>
                <w:lang w:eastAsia="zh-CN"/>
              </w:rPr>
              <w:t>：</w:t>
            </w:r>
            <w:r>
              <w:rPr>
                <w:rFonts w:hint="eastAsia"/>
                <w:sz w:val="24"/>
                <w:szCs w:val="24"/>
              </w:rPr>
              <w:t>称重备料—搅拌—</w:t>
            </w:r>
            <w:r>
              <w:rPr>
                <w:rFonts w:hint="eastAsia"/>
                <w:sz w:val="24"/>
                <w:szCs w:val="24"/>
                <w:lang w:eastAsia="zh-CN"/>
              </w:rPr>
              <w:t>（</w:t>
            </w:r>
            <w:r>
              <w:rPr>
                <w:rFonts w:hint="eastAsia"/>
                <w:sz w:val="24"/>
                <w:szCs w:val="24"/>
              </w:rPr>
              <w:t>骨架焊接</w:t>
            </w:r>
            <w:r>
              <w:rPr>
                <w:rFonts w:hint="eastAsia"/>
                <w:sz w:val="24"/>
                <w:szCs w:val="24"/>
                <w:lang w:eastAsia="zh-CN"/>
              </w:rPr>
              <w:t>）</w:t>
            </w:r>
            <w:r>
              <w:rPr>
                <w:rFonts w:hint="eastAsia"/>
                <w:sz w:val="24"/>
                <w:szCs w:val="24"/>
              </w:rPr>
              <w:t>—压制</w:t>
            </w:r>
            <w:r>
              <w:rPr>
                <w:rFonts w:hint="eastAsia"/>
                <w:sz w:val="24"/>
                <w:szCs w:val="24"/>
                <w:lang w:eastAsia="zh-CN"/>
              </w:rPr>
              <w:t>成型</w:t>
            </w:r>
            <w:r>
              <w:rPr>
                <w:rFonts w:hint="eastAsia"/>
                <w:sz w:val="24"/>
                <w:szCs w:val="24"/>
              </w:rPr>
              <w:t>—出模—</w:t>
            </w:r>
            <w:r>
              <w:rPr>
                <w:rFonts w:hint="eastAsia"/>
                <w:sz w:val="24"/>
                <w:szCs w:val="24"/>
                <w:lang w:val="en-US" w:eastAsia="zh-CN"/>
              </w:rPr>
              <w:t>成品</w:t>
            </w:r>
          </w:p>
          <w:p>
            <w:pPr>
              <w:spacing w:line="360" w:lineRule="auto"/>
              <w:rPr>
                <w:rFonts w:hint="default"/>
                <w:sz w:val="24"/>
                <w:szCs w:val="24"/>
                <w:lang w:val="en-US" w:eastAsia="zh-CN"/>
              </w:rPr>
            </w:pPr>
            <w:r>
              <w:rPr>
                <w:rFonts w:hint="eastAsia"/>
                <w:sz w:val="24"/>
                <w:szCs w:val="24"/>
                <w:lang w:val="en-US" w:eastAsia="zh-CN"/>
              </w:rPr>
              <w:t>标志牌：下料—</w:t>
            </w:r>
            <w:r>
              <w:rPr>
                <w:rFonts w:hint="eastAsia"/>
                <w:sz w:val="24"/>
                <w:szCs w:val="24"/>
                <w:lang w:eastAsia="zh-CN"/>
              </w:rPr>
              <w:t>贴膜</w:t>
            </w:r>
            <w:r>
              <w:rPr>
                <w:rFonts w:hint="eastAsia"/>
                <w:sz w:val="24"/>
                <w:szCs w:val="24"/>
                <w:lang w:val="en-US" w:eastAsia="zh-CN"/>
              </w:rPr>
              <w:t>/印刷—成品</w:t>
            </w:r>
          </w:p>
          <w:p>
            <w:pPr>
              <w:spacing w:line="360" w:lineRule="auto"/>
              <w:rPr>
                <w:rFonts w:hint="eastAsia"/>
                <w:sz w:val="24"/>
                <w:szCs w:val="24"/>
              </w:rPr>
            </w:pPr>
            <w:r>
              <w:rPr>
                <w:rFonts w:hint="eastAsia"/>
                <w:sz w:val="24"/>
                <w:szCs w:val="24"/>
                <w:lang w:eastAsia="zh-CN"/>
              </w:rPr>
              <w:t>塑料管材：</w:t>
            </w:r>
            <w:r>
              <w:rPr>
                <w:rFonts w:hint="eastAsia"/>
                <w:sz w:val="24"/>
                <w:szCs w:val="24"/>
              </w:rPr>
              <w:t>配料—搅拌—加热—挤出成型—牵引—切割—</w:t>
            </w:r>
            <w:r>
              <w:rPr>
                <w:rFonts w:hint="eastAsia"/>
                <w:sz w:val="24"/>
                <w:szCs w:val="24"/>
                <w:lang w:val="en-US" w:eastAsia="zh-CN"/>
              </w:rPr>
              <w:t>成品</w:t>
            </w:r>
          </w:p>
          <w:p>
            <w:pPr>
              <w:spacing w:line="360" w:lineRule="auto"/>
              <w:rPr>
                <w:rFonts w:hint="eastAsia"/>
                <w:sz w:val="24"/>
                <w:szCs w:val="24"/>
                <w:lang w:val="en-US" w:eastAsia="zh-CN"/>
              </w:rPr>
            </w:pPr>
            <w:r>
              <w:rPr>
                <w:rFonts w:hint="eastAsia"/>
                <w:sz w:val="24"/>
                <w:szCs w:val="24"/>
              </w:rPr>
              <w:t>钢绞线：打盘—绞合—成型</w:t>
            </w:r>
            <w:r>
              <w:rPr>
                <w:rFonts w:hint="eastAsia"/>
                <w:sz w:val="24"/>
                <w:szCs w:val="24"/>
                <w:lang w:eastAsia="zh-CN"/>
              </w:rPr>
              <w:t>—</w:t>
            </w:r>
            <w:r>
              <w:rPr>
                <w:rFonts w:hint="eastAsia"/>
                <w:sz w:val="24"/>
                <w:szCs w:val="24"/>
                <w:lang w:val="en-US" w:eastAsia="zh-CN"/>
              </w:rPr>
              <w:t>成品</w:t>
            </w:r>
          </w:p>
          <w:p>
            <w:pPr>
              <w:tabs>
                <w:tab w:val="left" w:pos="360"/>
              </w:tabs>
              <w:ind w:left="360" w:hanging="360"/>
              <w:rPr>
                <w:rFonts w:ascii="宋体"/>
                <w:color w:val="000000"/>
                <w:szCs w:val="21"/>
              </w:rPr>
            </w:pPr>
            <w:r>
              <w:rPr>
                <w:rFonts w:hint="eastAsia"/>
                <w:sz w:val="24"/>
                <w:szCs w:val="24"/>
              </w:rPr>
              <w:t>销售流程</w:t>
            </w:r>
            <w:r>
              <w:rPr>
                <w:rFonts w:hint="eastAsia"/>
                <w:sz w:val="24"/>
                <w:szCs w:val="24"/>
                <w:lang w:eastAsia="zh-CN"/>
              </w:rPr>
              <w:t>：</w:t>
            </w:r>
            <w:r>
              <w:rPr>
                <w:rFonts w:hint="eastAsia"/>
                <w:sz w:val="24"/>
                <w:szCs w:val="24"/>
              </w:rPr>
              <w:t>业务洽谈—签订合同—组织货源—产品交付—结算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
              <w:t>Q：认可：电力铁附件、电力金具、井圈、井盖、标志牌、钢绞线的生产及线路辅助材料、螺栓、通信抱杆、变压器、绝缘子、钢管、配电箱的销售</w:t>
            </w:r>
          </w:p>
          <w:p>
            <w:pPr>
              <w:rPr>
                <w:rFonts w:ascii="宋体" w:hAnsi="宋体"/>
                <w:b/>
                <w:color w:val="000000"/>
                <w:szCs w:val="21"/>
              </w:rPr>
            </w:pPr>
            <w:r>
              <w:t>未认可：塑料管材的生产</w:t>
            </w:r>
          </w:p>
        </w:tc>
        <w:tc>
          <w:tcPr>
            <w:tcW w:w="2006" w:type="dxa"/>
            <w:gridSpan w:val="3"/>
            <w:vAlign w:val="center"/>
          </w:tcPr>
          <w:p>
            <w:pPr>
              <w:spacing w:line="240" w:lineRule="exact"/>
              <w:jc w:val="center"/>
              <w:rPr>
                <w:rFonts w:ascii="宋体" w:hAnsi="宋体"/>
                <w:b/>
                <w:color w:val="000000"/>
                <w:szCs w:val="21"/>
              </w:rPr>
            </w:pPr>
            <w:r>
              <w:rPr>
                <w:b/>
                <w:color w:val="000000"/>
                <w:szCs w:val="21"/>
              </w:rPr>
              <w:t>Q:14.02.01,17.11.03,17.12.03,17.12.05,29.12.00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E：电力铁附件、电力金具、井圈、井盖、标志牌、塑料管材、钢绞线的生产及线路辅助材料、螺栓、通信抱杆、变压器、绝缘子、钢管、配电箱的销售所涉及场所的相关环境管理活动</w:t>
            </w:r>
          </w:p>
        </w:tc>
        <w:tc>
          <w:tcPr>
            <w:tcW w:w="2006" w:type="dxa"/>
            <w:gridSpan w:val="3"/>
            <w:vAlign w:val="center"/>
          </w:tcPr>
          <w:p>
            <w:pPr>
              <w:spacing w:line="240" w:lineRule="exact"/>
              <w:jc w:val="center"/>
              <w:rPr>
                <w:b/>
                <w:color w:val="000000"/>
                <w:szCs w:val="21"/>
              </w:rPr>
            </w:pPr>
            <w:r>
              <w:rPr>
                <w:rFonts w:hint="eastAsia"/>
                <w:b/>
                <w:color w:val="000000"/>
                <w:szCs w:val="21"/>
                <w:lang w:val="en-US" w:eastAsia="zh-CN"/>
              </w:rPr>
              <w:t>E</w:t>
            </w:r>
            <w:r>
              <w:rPr>
                <w:b/>
                <w:color w:val="000000"/>
                <w:szCs w:val="21"/>
              </w:rPr>
              <w:t>:14.02.01,17.11.03,17.12.03,17.12.05,29.12.00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tabs>
                <w:tab w:val="left" w:pos="360"/>
              </w:tabs>
              <w:ind w:left="360" w:hanging="360"/>
              <w:rPr>
                <w:rFonts w:ascii="宋体" w:hAnsi="宋体"/>
                <w:b/>
                <w:color w:val="000000"/>
                <w:szCs w:val="21"/>
              </w:rPr>
            </w:pPr>
            <w:r>
              <w:t>O：电力铁附件、电力金具、井圈、井盖、标志牌、塑料管材、钢绞线的生产及线路辅助材料、螺栓、通信抱杆、变压器、绝缘子、钢管、配电箱的销售所涉及场所的相关职业健康安全管理活动</w:t>
            </w:r>
          </w:p>
        </w:tc>
        <w:tc>
          <w:tcPr>
            <w:tcW w:w="2006" w:type="dxa"/>
            <w:gridSpan w:val="3"/>
            <w:vAlign w:val="center"/>
          </w:tcPr>
          <w:p>
            <w:pPr>
              <w:spacing w:line="240" w:lineRule="exact"/>
              <w:jc w:val="center"/>
              <w:rPr>
                <w:b/>
                <w:color w:val="000000"/>
                <w:szCs w:val="21"/>
              </w:rPr>
            </w:pPr>
            <w:r>
              <w:rPr>
                <w:rFonts w:hint="eastAsia"/>
                <w:b/>
                <w:color w:val="000000"/>
                <w:szCs w:val="21"/>
                <w:lang w:val="en-US" w:eastAsia="zh-CN"/>
              </w:rPr>
              <w:t>O</w:t>
            </w:r>
            <w:r>
              <w:rPr>
                <w:b/>
                <w:color w:val="000000"/>
                <w:szCs w:val="21"/>
              </w:rPr>
              <w:t>:14.02.01,17.11.03,17.12.03,17.12.05,29.12.00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41"/>
        <w:gridCol w:w="1499"/>
        <w:gridCol w:w="975"/>
        <w:gridCol w:w="369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74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97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369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41" w:type="dxa"/>
          </w:tcPr>
          <w:p>
            <w:pPr>
              <w:spacing w:before="40" w:after="40"/>
              <w:rPr>
                <w:rFonts w:hint="eastAsia" w:eastAsia="黑体"/>
                <w:szCs w:val="21"/>
                <w:lang w:val="de-DE" w:eastAsia="ja-JP"/>
              </w:rPr>
            </w:pPr>
            <w:r>
              <w:rPr>
                <w:rFonts w:hint="eastAsia" w:eastAsia="黑体"/>
                <w:szCs w:val="21"/>
                <w:lang w:val="de-DE" w:eastAsia="ja-JP"/>
              </w:rPr>
              <w:t>河北恒拓通信设备有限公司</w:t>
            </w:r>
          </w:p>
          <w:p>
            <w:pPr>
              <w:spacing w:before="40" w:after="40"/>
              <w:rPr>
                <w:rFonts w:eastAsia="黑体"/>
                <w:szCs w:val="21"/>
                <w:lang w:val="de-DE" w:eastAsia="ja-JP"/>
              </w:rPr>
            </w:pPr>
            <w:r>
              <w:rPr>
                <w:rFonts w:hint="eastAsia" w:eastAsia="黑体"/>
                <w:szCs w:val="21"/>
                <w:lang w:val="de-DE" w:eastAsia="ja-JP"/>
              </w:rPr>
              <w:t>任丘市经济技术开发区</w:t>
            </w:r>
          </w:p>
        </w:tc>
        <w:tc>
          <w:tcPr>
            <w:tcW w:w="1499" w:type="dxa"/>
          </w:tcPr>
          <w:p>
            <w:pPr>
              <w:spacing w:before="40" w:after="40"/>
              <w:rPr>
                <w:rFonts w:eastAsia="黑体"/>
                <w:szCs w:val="21"/>
                <w:lang w:val="de-DE" w:eastAsia="ja-JP"/>
              </w:rPr>
            </w:pPr>
            <w:r>
              <w:rPr>
                <w:sz w:val="21"/>
                <w:szCs w:val="21"/>
              </w:rPr>
              <w:t>任丘市大河路北马区</w:t>
            </w:r>
          </w:p>
        </w:tc>
        <w:tc>
          <w:tcPr>
            <w:tcW w:w="975"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3693" w:type="dxa"/>
            <w:vAlign w:val="center"/>
          </w:tcPr>
          <w:p>
            <w:bookmarkStart w:id="31" w:name="审核范围"/>
            <w:r>
              <w:t>Q：认可：电力铁附件、电力金具、井圈、井盖、标志牌、钢绞线的生产及线路辅助材料、螺栓、通信抱杆、变压器、绝缘子、钢管、配电箱的销售</w:t>
            </w:r>
          </w:p>
          <w:p>
            <w:r>
              <w:t>未认可：塑料管材的生产</w:t>
            </w:r>
          </w:p>
          <w:p>
            <w:r>
              <w:t>E：电力铁附件、电力金具、井圈、井盖、标志牌、塑料管材、钢绞线的生产及线路辅助材料、螺栓、通信抱杆、变压器、绝缘子、钢管、配电箱的销售所涉及场所的相关环境管理活动</w:t>
            </w:r>
          </w:p>
          <w:p>
            <w:pPr>
              <w:pStyle w:val="21"/>
              <w:rPr>
                <w:rFonts w:eastAsia="黑体" w:cs="Arial"/>
                <w:sz w:val="21"/>
                <w:szCs w:val="21"/>
                <w:lang w:val="en-US" w:eastAsia="ja-JP"/>
              </w:rPr>
            </w:pPr>
            <w:r>
              <w:t>O：电力铁附件、电力金具、井圈、井盖、标志牌、塑料管材、钢绞线的生产及线路辅助材料、螺栓、通信抱杆、变压器、绝缘子、钢管、配电箱的销售所涉及场所的相关职业健康安全管理活动</w:t>
            </w:r>
            <w:bookmarkEnd w:id="31"/>
          </w:p>
        </w:tc>
        <w:tc>
          <w:tcPr>
            <w:tcW w:w="669" w:type="dxa"/>
            <w:vAlign w:val="center"/>
          </w:tcPr>
          <w:p>
            <w:pPr>
              <w:spacing w:before="40" w:after="40"/>
              <w:rPr>
                <w:rFonts w:hint="eastAsia" w:eastAsia="宋体"/>
                <w:szCs w:val="21"/>
                <w:lang w:eastAsia="zh-CN"/>
              </w:rPr>
            </w:pPr>
            <w:r>
              <w:rPr>
                <w:rFonts w:hint="eastAsia" w:ascii="宋体" w:hAnsi="宋体"/>
                <w:b/>
                <w:sz w:val="21"/>
                <w:szCs w:val="21"/>
              </w:rPr>
              <w:t>GB/T19001-2016</w:t>
            </w:r>
            <w:r>
              <w:rPr>
                <w:rFonts w:hint="eastAsia" w:ascii="宋体" w:hAnsi="宋体"/>
                <w:b/>
                <w:sz w:val="21"/>
                <w:szCs w:val="21"/>
                <w:lang w:val="en-US" w:eastAsia="zh-CN"/>
              </w:rPr>
              <w:t xml:space="preserve"> </w:t>
            </w:r>
            <w:r>
              <w:rPr>
                <w:rFonts w:hint="eastAsia" w:ascii="宋体" w:hAnsi="宋体"/>
                <w:b/>
                <w:sz w:val="21"/>
                <w:szCs w:val="21"/>
              </w:rPr>
              <w:t>GB/T24001-2016</w:t>
            </w:r>
            <w:r>
              <w:rPr>
                <w:rFonts w:hint="eastAsia" w:ascii="宋体" w:hAnsi="宋体"/>
                <w:b/>
                <w:sz w:val="21"/>
                <w:szCs w:val="21"/>
                <w:lang w:val="en-US" w:eastAsia="zh-CN"/>
              </w:rPr>
              <w:t xml:space="preserve"> </w:t>
            </w:r>
            <w:r>
              <w:rPr>
                <w:rFonts w:hint="eastAsia" w:ascii="宋体" w:hAnsi="宋体"/>
                <w:b/>
                <w:sz w:val="21"/>
                <w:szCs w:val="21"/>
              </w:rPr>
              <w:t>GB/T 45001-2020</w:t>
            </w:r>
            <w:r>
              <w:rPr>
                <w:rFonts w:hint="eastAsia" w:ascii="宋体" w:hAnsi="宋体"/>
                <w:b/>
                <w:sz w:val="21"/>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741"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975" w:type="dxa"/>
            <w:vAlign w:val="center"/>
          </w:tcPr>
          <w:p>
            <w:pPr>
              <w:spacing w:before="40" w:after="40"/>
              <w:rPr>
                <w:rFonts w:eastAsia="黑体"/>
                <w:szCs w:val="21"/>
                <w:lang w:eastAsia="ja-JP"/>
              </w:rPr>
            </w:pPr>
          </w:p>
        </w:tc>
        <w:tc>
          <w:tcPr>
            <w:tcW w:w="369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741"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975" w:type="dxa"/>
            <w:vAlign w:val="center"/>
          </w:tcPr>
          <w:p>
            <w:pPr>
              <w:spacing w:before="40" w:after="40"/>
              <w:rPr>
                <w:rFonts w:eastAsia="黑体"/>
                <w:szCs w:val="21"/>
                <w:lang w:eastAsia="ja-JP"/>
              </w:rPr>
            </w:pPr>
          </w:p>
        </w:tc>
        <w:tc>
          <w:tcPr>
            <w:tcW w:w="369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741"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975" w:type="dxa"/>
            <w:vAlign w:val="center"/>
          </w:tcPr>
          <w:p>
            <w:pPr>
              <w:spacing w:before="40" w:after="40"/>
              <w:rPr>
                <w:rFonts w:eastAsia="黑体"/>
                <w:szCs w:val="21"/>
                <w:lang w:eastAsia="ja-JP"/>
              </w:rPr>
            </w:pPr>
          </w:p>
        </w:tc>
        <w:tc>
          <w:tcPr>
            <w:tcW w:w="369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741"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975" w:type="dxa"/>
            <w:vAlign w:val="center"/>
          </w:tcPr>
          <w:p>
            <w:pPr>
              <w:spacing w:before="40" w:after="40"/>
              <w:rPr>
                <w:rFonts w:eastAsia="黑体"/>
                <w:szCs w:val="21"/>
                <w:lang w:eastAsia="ja-JP"/>
              </w:rPr>
            </w:pPr>
          </w:p>
        </w:tc>
        <w:tc>
          <w:tcPr>
            <w:tcW w:w="369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年12月23日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下料、机械加工、表面处理（热镀锌）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焊接、挤出、注塑、销售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表面处理</w:t>
            </w:r>
            <w:r>
              <w:rPr>
                <w:rFonts w:hint="eastAsia" w:ascii="宋体"/>
                <w:color w:val="000000"/>
                <w:szCs w:val="21"/>
                <w:lang w:val="en-US" w:eastAsia="zh-CN"/>
              </w:rPr>
              <w:t>（热镀锌）、产品运输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Wingdings" w:hAnsi="Wingdings" w:eastAsia="黑体"/>
          <w:b/>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2023-03-</w:t>
            </w:r>
            <w:bookmarkEnd w:id="32"/>
            <w:r>
              <w:rPr>
                <w:rFonts w:hint="eastAsia" w:ascii="宋体"/>
                <w:b/>
                <w:color w:val="000000"/>
                <w:szCs w:val="21"/>
                <w:lang w:val="en-US" w:eastAsia="zh-CN"/>
              </w:rPr>
              <w:t>13至</w:t>
            </w:r>
            <w:r>
              <w:rPr>
                <w:rFonts w:hint="eastAsia" w:ascii="宋体"/>
                <w:b/>
                <w:color w:val="000000"/>
                <w:szCs w:val="21"/>
              </w:rPr>
              <w:t>2023-03-</w:t>
            </w:r>
            <w:r>
              <w:rPr>
                <w:rFonts w:hint="eastAsia" w:ascii="宋体"/>
                <w:b/>
                <w:color w:val="000000"/>
                <w:szCs w:val="21"/>
                <w:lang w:val="en-US" w:eastAsia="zh-CN"/>
              </w:rPr>
              <w:t>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72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729" w:type="dxa"/>
            <w:vAlign w:val="center"/>
          </w:tcPr>
          <w:p>
            <w:pPr>
              <w:spacing w:line="400" w:lineRule="exact"/>
              <w:rPr>
                <w:rFonts w:ascii="宋体" w:hAnsi="宋体"/>
                <w:b/>
                <w:color w:val="000000"/>
                <w:szCs w:val="21"/>
              </w:rPr>
            </w:pPr>
          </w:p>
        </w:tc>
        <w:tc>
          <w:tcPr>
            <w:tcW w:w="165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729" w:type="dxa"/>
            <w:vAlign w:val="center"/>
          </w:tcPr>
          <w:p>
            <w:pPr>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729" w:type="dxa"/>
            <w:vAlign w:val="center"/>
          </w:tcPr>
          <w:p>
            <w:pPr>
              <w:spacing w:line="400" w:lineRule="exact"/>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729" w:type="dxa"/>
            <w:vAlign w:val="center"/>
          </w:tcPr>
          <w:p>
            <w:pPr>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729" w:type="dxa"/>
            <w:vAlign w:val="center"/>
          </w:tcPr>
          <w:p>
            <w:pPr>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729" w:type="dxa"/>
            <w:vAlign w:val="center"/>
          </w:tcPr>
          <w:p>
            <w:pPr>
              <w:spacing w:line="400" w:lineRule="exact"/>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729" w:type="dxa"/>
            <w:vAlign w:val="center"/>
          </w:tcPr>
          <w:p>
            <w:pPr>
              <w:spacing w:line="400" w:lineRule="exact"/>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729" w:type="dxa"/>
            <w:vAlign w:val="center"/>
          </w:tcPr>
          <w:p>
            <w:pPr>
              <w:spacing w:line="400" w:lineRule="exact"/>
              <w:rPr>
                <w:rFonts w:ascii="宋体" w:hAnsi="宋体"/>
                <w:b/>
                <w:color w:val="000000"/>
                <w:szCs w:val="21"/>
              </w:rPr>
            </w:pPr>
          </w:p>
        </w:tc>
        <w:tc>
          <w:tcPr>
            <w:tcW w:w="1653"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周文廷</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杨园</w:t>
      </w:r>
      <w:r>
        <w:rPr>
          <w:rFonts w:ascii="宋体" w:hAnsi="宋体"/>
          <w:b/>
          <w:color w:val="000000"/>
          <w:szCs w:val="21"/>
        </w:rPr>
        <w:t xml:space="preserve">  </w:t>
      </w:r>
    </w:p>
    <w:p>
      <w:pPr>
        <w:ind w:firstLine="843" w:firstLineChars="400"/>
        <w:rPr>
          <w:rFonts w:hint="default" w:ascii="宋体"/>
          <w:b/>
          <w:color w:val="000000"/>
          <w:szCs w:val="21"/>
          <w:lang w:val="en-US"/>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2023.3.10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ascii="宋体"/>
                <w:color w:val="000000"/>
                <w:sz w:val="21"/>
                <w:szCs w:val="21"/>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3" w:name="_GoBack"/>
            <w:bookmarkEnd w:id="33"/>
          </w:p>
        </w:tc>
        <w:tc>
          <w:tcPr>
            <w:tcW w:w="922" w:type="dxa"/>
            <w:vAlign w:val="center"/>
          </w:tcPr>
          <w:p>
            <w:pPr>
              <w:bidi w:val="0"/>
              <w:rPr>
                <w:color w:val="000000"/>
                <w:sz w:val="21"/>
                <w:szCs w:val="21"/>
              </w:rPr>
            </w:pPr>
          </w:p>
        </w:tc>
        <w:tc>
          <w:tcPr>
            <w:tcW w:w="1133" w:type="dxa"/>
            <w:vAlign w:val="center"/>
          </w:tcPr>
          <w:p>
            <w:pPr>
              <w:bidi w:val="0"/>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bidi w:val="0"/>
              <w:rPr>
                <w:color w:val="000000"/>
                <w:sz w:val="21"/>
                <w:szCs w:val="21"/>
              </w:rPr>
            </w:pPr>
          </w:p>
        </w:tc>
        <w:tc>
          <w:tcPr>
            <w:tcW w:w="1133" w:type="dxa"/>
            <w:vAlign w:val="center"/>
          </w:tcPr>
          <w:p>
            <w:pPr>
              <w:bidi w:val="0"/>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bidi w:val="0"/>
              <w:rPr>
                <w:color w:val="000000"/>
                <w:sz w:val="21"/>
                <w:szCs w:val="21"/>
              </w:rPr>
            </w:pPr>
          </w:p>
        </w:tc>
        <w:tc>
          <w:tcPr>
            <w:tcW w:w="1133" w:type="dxa"/>
            <w:vAlign w:val="center"/>
          </w:tcPr>
          <w:p>
            <w:pPr>
              <w:bidi w:val="0"/>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rightChars="0"/>
              <w:jc w:val="both"/>
              <w:rPr>
                <w:color w:val="000000"/>
                <w:sz w:val="21"/>
                <w:szCs w:val="21"/>
              </w:rPr>
            </w:pPr>
          </w:p>
        </w:tc>
        <w:tc>
          <w:tcPr>
            <w:tcW w:w="1133" w:type="dxa"/>
            <w:vAlign w:val="center"/>
          </w:tcPr>
          <w:p>
            <w:pPr>
              <w:pStyle w:val="8"/>
              <w:pBdr>
                <w:bottom w:val="none" w:color="auto" w:sz="0" w:space="0"/>
              </w:pBdr>
              <w:ind w:right="600" w:rightChars="0"/>
              <w:jc w:val="both"/>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rightChars="0"/>
              <w:jc w:val="both"/>
              <w:rPr>
                <w:color w:val="000000"/>
                <w:sz w:val="21"/>
                <w:szCs w:val="21"/>
              </w:rPr>
            </w:pPr>
          </w:p>
        </w:tc>
        <w:tc>
          <w:tcPr>
            <w:tcW w:w="1133" w:type="dxa"/>
            <w:vAlign w:val="center"/>
          </w:tcPr>
          <w:p>
            <w:pPr>
              <w:pStyle w:val="8"/>
              <w:pBdr>
                <w:bottom w:val="none" w:color="auto" w:sz="0" w:space="0"/>
              </w:pBdr>
              <w:ind w:right="600" w:rightChars="0"/>
              <w:jc w:val="both"/>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5"/>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MyZWEwNTJkZmJlNThmOGIyN2MwMTRiZTI2ODcwNWIifQ=="/>
  </w:docVars>
  <w:rsids>
    <w:rsidRoot w:val="00000000"/>
    <w:rsid w:val="087A4205"/>
    <w:rsid w:val="0CF4095F"/>
    <w:rsid w:val="4D40432D"/>
    <w:rsid w:val="6EB44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keepNext w:val="0"/>
      <w:keepLines w:val="0"/>
      <w:widowControl w:val="0"/>
      <w:suppressLineNumbers w:val="0"/>
      <w:tabs>
        <w:tab w:val="left" w:pos="1560"/>
        <w:tab w:val="left" w:pos="1985"/>
      </w:tabs>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qFormat/>
    <w:uiPriority w:val="0"/>
    <w:pPr>
      <w:tabs>
        <w:tab w:val="left" w:pos="1560"/>
        <w:tab w:val="left" w:pos="1985"/>
      </w:tabs>
      <w:ind w:left="1560" w:hanging="1560"/>
      <w:jc w:val="left"/>
    </w:pPr>
    <w:rPr>
      <w:lang w:eastAsia="ja-JP"/>
    </w:rPr>
  </w:style>
  <w:style w:type="paragraph" w:styleId="4">
    <w:name w:val="toc 3"/>
    <w:basedOn w:val="1"/>
    <w:next w:val="1"/>
    <w:unhideWhenUsed/>
    <w:qFormat/>
    <w:locked/>
    <w:uiPriority w:val="39"/>
    <w:pPr>
      <w:spacing w:before="0" w:after="100" w:line="276" w:lineRule="auto"/>
      <w:ind w:left="440" w:firstLine="0" w:firstLineChars="0"/>
    </w:pPr>
    <w:rPr>
      <w:sz w:val="22"/>
      <w:szCs w:val="22"/>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5991</Words>
  <Characters>6999</Characters>
  <Lines>67</Lines>
  <Paragraphs>18</Paragraphs>
  <TotalTime>2</TotalTime>
  <ScaleCrop>false</ScaleCrop>
  <LinksUpToDate>false</LinksUpToDate>
  <CharactersWithSpaces>7107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2023-03-14T07:52:20Z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