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2023年03月04日 上午至2023年03月05日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83A4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2023-03-13T08:36:00Z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CD3CB10024AF43F1A67930CF34A3DD65</vt:lpwstr>
  </property>
</Properties>
</file>