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成都秦川物联网科技股份有限公司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0028-2020-2023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0028-2020-2023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35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3000"/>
        <w:gridCol w:w="1687"/>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0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成都秦川物联网科技股份有限公司</w:t>
            </w:r>
            <w:bookmarkEnd w:id="4"/>
          </w:p>
        </w:tc>
        <w:tc>
          <w:tcPr>
            <w:tcW w:w="168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913"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魏晓丽</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0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ISC-2020-0659</w:t>
            </w:r>
            <w:bookmarkEnd w:id="6"/>
          </w:p>
        </w:tc>
        <w:tc>
          <w:tcPr>
            <w:tcW w:w="168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913"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2025-03-12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00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三</w:t>
            </w:r>
            <w:bookmarkEnd w:id="8"/>
            <w:r>
              <w:rPr>
                <w:rFonts w:hint="eastAsia" w:cs="宋体" w:asciiTheme="minorEastAsia" w:hAnsiTheme="minorEastAsia"/>
                <w:kern w:val="0"/>
                <w:szCs w:val="21"/>
                <w:lang w:val="en-US" w:eastAsia="zh-CN"/>
              </w:rPr>
              <w:t>次监督审核</w:t>
            </w:r>
          </w:p>
        </w:tc>
        <w:tc>
          <w:tcPr>
            <w:tcW w:w="168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913"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9" w:name="审核开始日"/>
            <w:r>
              <w:rPr>
                <w:rFonts w:cs="宋体" w:asciiTheme="minorEastAsia" w:hAnsiTheme="minorEastAsia"/>
                <w:kern w:val="0"/>
                <w:szCs w:val="21"/>
              </w:rPr>
              <w:t>2023年03月07日</w:t>
            </w:r>
            <w:bookmarkEnd w:id="9"/>
            <w:r>
              <w:rPr>
                <w:rFonts w:hint="eastAsia" w:cs="宋体" w:asciiTheme="minorEastAsia" w:hAnsiTheme="minorEastAsia"/>
                <w:kern w:val="0"/>
                <w:szCs w:val="21"/>
                <w:lang w:val="en-US" w:eastAsia="zh-CN"/>
              </w:rPr>
              <w:t>-</w:t>
            </w:r>
            <w:r>
              <w:rPr>
                <w:rFonts w:cs="宋体" w:asciiTheme="minorEastAsia" w:hAnsiTheme="minorEastAsia"/>
                <w:kern w:val="0"/>
                <w:szCs w:val="21"/>
              </w:rPr>
              <w:t>03月0</w:t>
            </w:r>
            <w:r>
              <w:rPr>
                <w:rFonts w:hint="eastAsia" w:cs="宋体" w:asciiTheme="minorEastAsia" w:hAnsiTheme="minorEastAsia"/>
                <w:kern w:val="0"/>
                <w:szCs w:val="21"/>
                <w:lang w:val="en-US" w:eastAsia="zh-CN"/>
              </w:rPr>
              <w:t>8</w:t>
            </w:r>
            <w:r>
              <w:rPr>
                <w:rFonts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5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000" w:type="dxa"/>
          </w:tcPr>
          <w:p>
            <w:pPr>
              <w:tabs>
                <w:tab w:val="left" w:pos="880"/>
              </w:tabs>
              <w:autoSpaceDE w:val="0"/>
              <w:autoSpaceDN w:val="0"/>
              <w:adjustRightInd w:val="0"/>
              <w:spacing w:before="35" w:line="276" w:lineRule="auto"/>
              <w:ind w:right="161"/>
              <w:jc w:val="left"/>
              <w:rPr>
                <w:rFonts w:ascii="宋体" w:hAnsi="宋体" w:eastAsia="宋体" w:cs="Times New Roman"/>
                <w:color w:val="000000"/>
                <w:szCs w:val="21"/>
              </w:rPr>
            </w:pPr>
            <w:r>
              <w:rPr>
                <w:rFonts w:hint="eastAsia" w:ascii="宋体" w:hAnsi="宋体" w:eastAsia="宋体" w:cs="Times New Roman"/>
                <w:color w:val="000000"/>
                <w:szCs w:val="21"/>
                <w:lang w:val="en-US" w:eastAsia="zh-CN"/>
              </w:rPr>
              <w:t xml:space="preserve">李俐 </w:t>
            </w:r>
            <w:r>
              <w:rPr>
                <w:rFonts w:ascii="宋体" w:hAnsi="宋体" w:eastAsia="宋体" w:cs="Times New Roman"/>
                <w:color w:val="000000"/>
                <w:szCs w:val="21"/>
              </w:rPr>
              <w:t>2021-M1MMS-2222792</w:t>
            </w:r>
          </w:p>
          <w:p>
            <w:pPr>
              <w:tabs>
                <w:tab w:val="left" w:pos="880"/>
              </w:tabs>
              <w:autoSpaceDE w:val="0"/>
              <w:autoSpaceDN w:val="0"/>
              <w:adjustRightInd w:val="0"/>
              <w:spacing w:before="35" w:line="276" w:lineRule="auto"/>
              <w:ind w:right="161"/>
              <w:jc w:val="left"/>
              <w:rPr>
                <w:rFonts w:ascii="宋体" w:hAnsi="宋体" w:eastAsia="宋体" w:cs="Times New Roman"/>
                <w:color w:val="000000"/>
                <w:szCs w:val="21"/>
              </w:rPr>
            </w:pPr>
            <w:r>
              <w:rPr>
                <w:rFonts w:ascii="宋体" w:hAnsi="宋体" w:eastAsia="宋体" w:cs="Times New Roman"/>
                <w:color w:val="000000"/>
                <w:szCs w:val="21"/>
              </w:rPr>
              <w:t>程万荣2022-M1MMS-2274452</w:t>
            </w:r>
          </w:p>
        </w:tc>
        <w:tc>
          <w:tcPr>
            <w:tcW w:w="168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913" w:type="dxa"/>
          </w:tcPr>
          <w:p>
            <w:pPr>
              <w:jc w:val="left"/>
              <w:rPr>
                <w:rFonts w:cs="宋体" w:asciiTheme="minorEastAsia" w:hAnsiTheme="minorEastAsia"/>
                <w:kern w:val="0"/>
                <w:szCs w:val="21"/>
              </w:rPr>
            </w:pPr>
            <w:r>
              <w:rPr>
                <w:rFonts w:hint="eastAsia"/>
                <w:sz w:val="18"/>
                <w:szCs w:val="18"/>
                <w:lang w:val="en-US" w:eastAsia="zh-CN"/>
              </w:rPr>
              <w:t>行政办公室、质量管理部、</w:t>
            </w:r>
            <w:r>
              <w:rPr>
                <w:rFonts w:hint="eastAsia" w:eastAsia="新宋体"/>
                <w:sz w:val="18"/>
                <w:szCs w:val="18"/>
                <w:lang w:val="en-US" w:eastAsia="zh-CN"/>
              </w:rPr>
              <w:t>工程技术部、</w:t>
            </w:r>
            <w:r>
              <w:rPr>
                <w:rFonts w:hint="eastAsia" w:eastAsia="新宋体"/>
                <w:sz w:val="18"/>
                <w:szCs w:val="18"/>
              </w:rPr>
              <w:t>人力资源部</w:t>
            </w:r>
            <w:r>
              <w:rPr>
                <w:rFonts w:hint="eastAsia" w:eastAsia="新宋体"/>
                <w:sz w:val="18"/>
                <w:szCs w:val="18"/>
                <w:lang w:eastAsia="zh-CN"/>
              </w:rPr>
              <w:t>、</w:t>
            </w:r>
            <w:r>
              <w:rPr>
                <w:rFonts w:hint="eastAsia" w:eastAsia="新宋体"/>
                <w:sz w:val="18"/>
                <w:szCs w:val="18"/>
                <w:lang w:val="en-US" w:eastAsia="zh-CN"/>
              </w:rPr>
              <w:t>生产运营</w:t>
            </w:r>
            <w:r>
              <w:rPr>
                <w:rFonts w:hint="eastAsia" w:eastAsia="新宋体"/>
                <w:sz w:val="18"/>
                <w:szCs w:val="18"/>
              </w:rPr>
              <w:t>部</w:t>
            </w:r>
            <w:r>
              <w:rPr>
                <w:rFonts w:hint="eastAsia" w:eastAsia="新宋体"/>
                <w:sz w:val="18"/>
                <w:szCs w:val="18"/>
                <w:lang w:eastAsia="zh-CN"/>
              </w:rPr>
              <w:t>、</w:t>
            </w:r>
            <w:r>
              <w:rPr>
                <w:rFonts w:hint="eastAsia" w:eastAsia="新宋体"/>
                <w:szCs w:val="21"/>
                <w:lang w:val="en-US" w:eastAsia="zh-CN"/>
              </w:rPr>
              <w:t xml:space="preserve"> </w:t>
            </w:r>
            <w:r>
              <w:rPr>
                <w:rFonts w:hint="eastAsia"/>
                <w:bCs/>
                <w:sz w:val="18"/>
                <w:szCs w:val="18"/>
                <w:lang w:val="en-US" w:eastAsia="zh-CN"/>
              </w:rPr>
              <w:t>市场管理部</w:t>
            </w:r>
          </w:p>
        </w:tc>
      </w:tr>
    </w:tbl>
    <w:p>
      <w:pPr>
        <w:widowControl/>
        <w:spacing w:line="360" w:lineRule="auto"/>
        <w:rPr>
          <w:rFonts w:cs="宋体" w:asciiTheme="minorEastAsia" w:hAnsiTheme="minorEastAsia"/>
          <w:color w:val="auto"/>
          <w:kern w:val="0"/>
          <w:szCs w:val="21"/>
        </w:rPr>
      </w:pPr>
      <w:r>
        <w:rPr>
          <w:rFonts w:hint="eastAsia" w:cs="宋体" w:asciiTheme="minorEastAsia" w:hAnsiTheme="minorEastAsia"/>
          <w:b/>
          <w:bCs/>
          <w:color w:val="auto"/>
          <w:kern w:val="0"/>
          <w:szCs w:val="21"/>
        </w:rPr>
        <w:t>二、</w:t>
      </w:r>
      <w:r>
        <w:rPr>
          <w:rFonts w:cs="宋体" w:asciiTheme="minorEastAsia" w:hAnsiTheme="minorEastAsia"/>
          <w:b/>
          <w:bCs/>
          <w:color w:val="auto"/>
          <w:kern w:val="0"/>
          <w:szCs w:val="21"/>
        </w:rPr>
        <w:t>监督审核</w:t>
      </w:r>
      <w:r>
        <w:rPr>
          <w:rFonts w:hint="eastAsia" w:cs="宋体" w:asciiTheme="minorEastAsia" w:hAnsiTheme="minorEastAsia"/>
          <w:b/>
          <w:bCs/>
          <w:color w:val="auto"/>
          <w:kern w:val="0"/>
          <w:szCs w:val="21"/>
        </w:rPr>
        <w:t>内容</w:t>
      </w:r>
      <w:r>
        <w:rPr>
          <w:rFonts w:hint="eastAsia" w:cs="宋体" w:asciiTheme="minorEastAsia" w:hAnsiTheme="minorEastAsia"/>
          <w:bCs/>
          <w:color w:val="auto"/>
          <w:kern w:val="0"/>
          <w:szCs w:val="21"/>
        </w:rPr>
        <w:t>：</w:t>
      </w: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1.</w:t>
      </w:r>
      <w:r>
        <w:rPr>
          <w:rFonts w:cs="宋体" w:asciiTheme="minorEastAsia" w:hAnsiTheme="minorEastAsia"/>
          <w:bCs/>
          <w:color w:val="auto"/>
          <w:kern w:val="0"/>
          <w:szCs w:val="21"/>
        </w:rPr>
        <w:t>一年内违反法律法规</w:t>
      </w:r>
      <w:r>
        <w:rPr>
          <w:rFonts w:hint="eastAsia" w:cs="宋体" w:asciiTheme="minorEastAsia" w:hAnsiTheme="minorEastAsia"/>
          <w:bCs/>
          <w:color w:val="auto"/>
          <w:kern w:val="0"/>
          <w:szCs w:val="21"/>
        </w:rPr>
        <w:t>或</w:t>
      </w:r>
      <w:r>
        <w:rPr>
          <w:rFonts w:cs="宋体" w:asciiTheme="minorEastAsia" w:hAnsiTheme="minorEastAsia"/>
          <w:bCs/>
          <w:color w:val="auto"/>
          <w:kern w:val="0"/>
          <w:szCs w:val="21"/>
        </w:rPr>
        <w:t>重大事故的情况：</w:t>
      </w:r>
    </w:p>
    <w:p>
      <w:pPr>
        <w:widowControl/>
        <w:spacing w:line="360" w:lineRule="auto"/>
        <w:ind w:firstLine="420" w:firstLineChars="200"/>
        <w:rPr>
          <w:rFonts w:hint="default"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22</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3</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rPr>
        <w:t>公司一年来重点做了以下工作：</w:t>
      </w:r>
      <w:r>
        <w:rPr>
          <w:rFonts w:hint="eastAsia" w:ascii="宋体" w:hAnsi="宋体"/>
          <w:color w:val="000000" w:themeColor="text1"/>
          <w:kern w:val="24"/>
          <w:szCs w:val="21"/>
          <w:lang w:val="en-US" w:eastAsia="zh-CN"/>
        </w:rPr>
        <w:t>加强了测量过程控制，落实了测量体系管理，为</w:t>
      </w:r>
      <w:r>
        <w:rPr>
          <w:rFonts w:hint="eastAsia" w:ascii="宋体" w:hAnsi="宋体" w:cs="宋体"/>
          <w:bCs/>
          <w:color w:val="000000" w:themeColor="text1"/>
          <w:kern w:val="0"/>
          <w:szCs w:val="21"/>
        </w:rPr>
        <w:t>推动四川省市场监管局印发“四川省市场监督管理局关于印发四川省民用水表、燃气表出厂检定和首次检定合并实施改革试点方案的通知”</w:t>
      </w:r>
      <w:r>
        <w:rPr>
          <w:rFonts w:hint="eastAsia" w:ascii="宋体" w:hAnsi="宋体" w:cs="宋体"/>
          <w:bCs/>
          <w:color w:val="000000" w:themeColor="text1"/>
          <w:kern w:val="0"/>
          <w:szCs w:val="21"/>
          <w:lang w:eastAsia="zh-CN"/>
        </w:rPr>
        <w:t>，</w:t>
      </w:r>
      <w:r>
        <w:rPr>
          <w:rFonts w:hint="eastAsia" w:ascii="宋体" w:hAnsi="宋体" w:cs="宋体"/>
          <w:bCs/>
          <w:color w:val="000000" w:themeColor="text1"/>
          <w:kern w:val="0"/>
          <w:szCs w:val="21"/>
        </w:rPr>
        <w:t>于2023.2做为四川省首家取得了“二检合一”资质的企业，“二检合一”即公司出场检验与用户使用前的首次检定合并在一起，由生产企业承担</w:t>
      </w:r>
      <w:r>
        <w:rPr>
          <w:rFonts w:hint="eastAsia" w:ascii="宋体" w:hAnsi="宋体" w:cs="宋体"/>
          <w:bCs/>
          <w:color w:val="000000" w:themeColor="text1"/>
          <w:kern w:val="0"/>
          <w:szCs w:val="21"/>
          <w:lang w:eastAsia="zh-CN"/>
        </w:rPr>
        <w:t>，</w:t>
      </w:r>
      <w:r>
        <w:rPr>
          <w:rFonts w:hint="eastAsia" w:ascii="宋体" w:hAnsi="宋体" w:cs="宋体"/>
          <w:bCs/>
          <w:color w:val="000000" w:themeColor="text1"/>
          <w:kern w:val="0"/>
          <w:szCs w:val="21"/>
          <w:lang w:val="en-US" w:eastAsia="zh-CN"/>
        </w:rPr>
        <w:t>从而提高企业的测量能力和水平。</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2</w:t>
      </w:r>
      <w:r>
        <w:rPr>
          <w:rFonts w:hint="eastAsia" w:ascii="宋体" w:hAnsi="宋体"/>
          <w:bCs/>
          <w:color w:val="000000" w:themeColor="text1"/>
          <w:szCs w:val="21"/>
        </w:rPr>
        <w:t>年</w:t>
      </w:r>
      <w:r>
        <w:rPr>
          <w:rFonts w:hint="eastAsia" w:ascii="宋体" w:hAnsi="宋体"/>
          <w:bCs/>
          <w:color w:val="000000" w:themeColor="text1"/>
          <w:szCs w:val="21"/>
          <w:lang w:val="en-US" w:eastAsia="zh-CN"/>
        </w:rPr>
        <w:t>12</w:t>
      </w:r>
      <w:r>
        <w:rPr>
          <w:rFonts w:hint="eastAsia" w:ascii="宋体" w:hAnsi="宋体"/>
          <w:bCs/>
          <w:color w:val="000000" w:themeColor="text1"/>
          <w:szCs w:val="21"/>
        </w:rPr>
        <w:t>月</w:t>
      </w:r>
      <w:r>
        <w:rPr>
          <w:rFonts w:hint="eastAsia" w:ascii="宋体" w:hAnsi="宋体"/>
          <w:bCs/>
          <w:color w:val="000000" w:themeColor="text1"/>
          <w:szCs w:val="21"/>
          <w:lang w:val="en-US" w:eastAsia="zh-CN"/>
        </w:rPr>
        <w:t>13</w:t>
      </w:r>
      <w:r>
        <w:rPr>
          <w:rFonts w:hint="eastAsia" w:ascii="宋体" w:hAnsi="宋体"/>
          <w:bCs/>
          <w:color w:val="000000" w:themeColor="text1"/>
          <w:szCs w:val="21"/>
        </w:rPr>
        <w:t>-</w:t>
      </w:r>
      <w:r>
        <w:rPr>
          <w:rFonts w:hint="eastAsia" w:ascii="宋体" w:hAnsi="宋体"/>
          <w:bCs/>
          <w:color w:val="000000" w:themeColor="text1"/>
          <w:szCs w:val="21"/>
          <w:lang w:val="en-US" w:eastAsia="zh-CN"/>
        </w:rPr>
        <w:t>12</w:t>
      </w:r>
      <w:r>
        <w:rPr>
          <w:rFonts w:hint="eastAsia" w:ascii="宋体" w:hAnsi="宋体"/>
          <w:bCs/>
          <w:color w:val="000000" w:themeColor="text1"/>
          <w:szCs w:val="21"/>
        </w:rPr>
        <w:t>月</w:t>
      </w:r>
      <w:r>
        <w:rPr>
          <w:rFonts w:hint="eastAsia" w:ascii="宋体" w:hAnsi="宋体"/>
          <w:bCs/>
          <w:color w:val="000000" w:themeColor="text1"/>
          <w:szCs w:val="21"/>
          <w:lang w:val="en-US" w:eastAsia="zh-CN"/>
        </w:rPr>
        <w:t>14</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6</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12</w:t>
      </w:r>
      <w:r>
        <w:rPr>
          <w:rFonts w:hint="eastAsia" w:ascii="宋体" w:hAnsi="宋体"/>
          <w:bCs/>
          <w:color w:val="000000" w:themeColor="text1"/>
          <w:szCs w:val="21"/>
        </w:rPr>
        <w:t>月</w:t>
      </w:r>
      <w:r>
        <w:rPr>
          <w:rFonts w:hint="eastAsia" w:ascii="宋体" w:hAnsi="宋体"/>
          <w:bCs/>
          <w:color w:val="000000" w:themeColor="text1"/>
          <w:szCs w:val="21"/>
          <w:lang w:val="en-US" w:eastAsia="zh-CN"/>
        </w:rPr>
        <w:t>27</w:t>
      </w:r>
      <w:r>
        <w:rPr>
          <w:rFonts w:hint="eastAsia" w:ascii="宋体" w:hAnsi="宋体"/>
          <w:bCs/>
          <w:color w:val="000000" w:themeColor="text1"/>
          <w:szCs w:val="21"/>
        </w:rPr>
        <w:t>日完成整改。</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23</w:t>
      </w:r>
      <w:r>
        <w:rPr>
          <w:rFonts w:hint="eastAsia"/>
          <w:color w:val="000000" w:themeColor="text1"/>
          <w:szCs w:val="21"/>
        </w:rPr>
        <w:t>年</w:t>
      </w:r>
      <w:r>
        <w:rPr>
          <w:rFonts w:hint="eastAsia"/>
          <w:color w:val="000000" w:themeColor="text1"/>
          <w:szCs w:val="21"/>
          <w:lang w:val="en-US" w:eastAsia="zh-CN"/>
        </w:rPr>
        <w:t>1</w:t>
      </w:r>
      <w:r>
        <w:rPr>
          <w:rFonts w:hint="eastAsia"/>
          <w:color w:val="000000" w:themeColor="text1"/>
          <w:szCs w:val="21"/>
        </w:rPr>
        <w:t>月</w:t>
      </w:r>
      <w:r>
        <w:rPr>
          <w:rFonts w:hint="eastAsia"/>
          <w:color w:val="000000" w:themeColor="text1"/>
          <w:szCs w:val="21"/>
          <w:lang w:val="en-US" w:eastAsia="zh-CN"/>
        </w:rPr>
        <w:t>30</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测量管理</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bCs/>
          <w:color w:val="000000" w:themeColor="text1"/>
          <w:szCs w:val="21"/>
          <w:lang w:val="en-US" w:eastAsia="zh-CN"/>
        </w:rPr>
        <w:t>邵泽华</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李勇</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4</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bCs/>
          <w:color w:val="000000" w:themeColor="text1"/>
          <w:szCs w:val="21"/>
          <w:lang w:eastAsia="zh-CN"/>
        </w:rPr>
        <w:t>燃气表示值误差</w:t>
      </w:r>
      <w:r>
        <w:rPr>
          <w:rFonts w:hint="eastAsia"/>
          <w:bCs/>
          <w:color w:val="000000" w:themeColor="text1"/>
          <w:szCs w:val="21"/>
        </w:rPr>
        <w:t>计量过程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bCs/>
          <w:color w:val="000000" w:themeColor="text1"/>
          <w:szCs w:val="21"/>
          <w:lang w:eastAsia="zh-CN"/>
        </w:rPr>
        <w:t>燃气表示值误差</w:t>
      </w:r>
      <w:r>
        <w:rPr>
          <w:rFonts w:hint="eastAsia"/>
          <w:bCs/>
          <w:color w:val="000000" w:themeColor="text1"/>
          <w:szCs w:val="21"/>
        </w:rPr>
        <w:t>计量过程</w:t>
      </w:r>
      <w:r>
        <w:rPr>
          <w:rFonts w:hint="eastAsia"/>
          <w:color w:val="000000" w:themeColor="text1"/>
        </w:rPr>
        <w:t>，测量不确定度评定方法正确。祥见附件《测量不确定度评定》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bCs/>
          <w:color w:val="000000" w:themeColor="text1"/>
          <w:szCs w:val="21"/>
          <w:lang w:eastAsia="zh-CN"/>
        </w:rPr>
        <w:t>燃气表示值误差</w:t>
      </w:r>
      <w:r>
        <w:rPr>
          <w:rFonts w:hint="eastAsia"/>
          <w:bCs/>
          <w:color w:val="000000" w:themeColor="text1"/>
          <w:szCs w:val="21"/>
        </w:rPr>
        <w:t>计量过程</w:t>
      </w:r>
      <w:r>
        <w:rPr>
          <w:rFonts w:hint="eastAsia"/>
          <w:color w:val="000000" w:themeColor="text1"/>
        </w:rPr>
        <w:t>，采用计量比对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bCs/>
          <w:color w:val="000000" w:themeColor="text1"/>
          <w:szCs w:val="21"/>
          <w:lang w:eastAsia="zh-CN"/>
        </w:rPr>
        <w:t>燃气表示值误差</w:t>
      </w:r>
      <w:r>
        <w:rPr>
          <w:rFonts w:hint="eastAsia"/>
          <w:bCs/>
          <w:color w:val="000000" w:themeColor="text1"/>
          <w:szCs w:val="21"/>
        </w:rPr>
        <w:t>计量过程</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bCs/>
          <w:color w:val="000000" w:themeColor="text1"/>
          <w:szCs w:val="21"/>
          <w:lang w:eastAsia="zh-CN"/>
        </w:rPr>
        <w:t>燃气表示值误差</w:t>
      </w:r>
      <w:r>
        <w:rPr>
          <w:rFonts w:hint="eastAsia"/>
          <w:bCs/>
          <w:color w:val="000000" w:themeColor="text1"/>
          <w:szCs w:val="21"/>
        </w:rPr>
        <w:t>计量过程</w:t>
      </w:r>
      <w:r>
        <w:rPr>
          <w:rFonts w:hint="eastAsia"/>
          <w:color w:val="000000" w:themeColor="text1"/>
        </w:rPr>
        <w:t>，</w:t>
      </w:r>
      <w:r>
        <w:rPr>
          <w:rFonts w:hint="eastAsia" w:cs="宋体" w:asciiTheme="minorEastAsia" w:hAnsiTheme="minorEastAsia"/>
          <w:color w:val="000000" w:themeColor="text1"/>
          <w:kern w:val="0"/>
          <w:szCs w:val="21"/>
        </w:rPr>
        <w:t>采用</w:t>
      </w:r>
      <w:r>
        <w:rPr>
          <w:rFonts w:hint="eastAsia"/>
          <w:color w:val="000000" w:themeColor="text1"/>
        </w:rPr>
        <w:t>计量比对</w:t>
      </w:r>
      <w:r>
        <w:rPr>
          <w:rFonts w:hint="eastAsia" w:cs="宋体" w:asciiTheme="minorEastAsia" w:hAnsiTheme="minorEastAsia"/>
          <w:color w:val="000000" w:themeColor="text1"/>
          <w:kern w:val="0"/>
          <w:szCs w:val="21"/>
        </w:rPr>
        <w:t>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bCs/>
          <w:color w:val="000000" w:themeColor="text1"/>
          <w:szCs w:val="21"/>
        </w:rPr>
        <w:t>公司</w:t>
      </w:r>
      <w:r>
        <w:rPr>
          <w:rFonts w:hint="eastAsia"/>
          <w:bCs/>
          <w:color w:val="000000" w:themeColor="text1"/>
          <w:szCs w:val="21"/>
          <w:lang w:val="en-US" w:eastAsia="zh-CN"/>
        </w:rPr>
        <w:t>未建立</w:t>
      </w:r>
      <w:r>
        <w:rPr>
          <w:rFonts w:hint="eastAsia"/>
          <w:bCs/>
          <w:color w:val="000000" w:themeColor="text1"/>
          <w:szCs w:val="21"/>
        </w:rPr>
        <w:t>最高</w:t>
      </w:r>
      <w:r>
        <w:rPr>
          <w:rFonts w:hint="eastAsia"/>
          <w:bCs/>
          <w:color w:val="000000" w:themeColor="text1"/>
          <w:szCs w:val="21"/>
          <w:lang w:val="en-US" w:eastAsia="zh-CN"/>
        </w:rPr>
        <w:t>计量</w:t>
      </w:r>
      <w:r>
        <w:rPr>
          <w:rFonts w:hint="eastAsia"/>
          <w:bCs/>
          <w:color w:val="000000" w:themeColor="text1"/>
          <w:szCs w:val="21"/>
        </w:rPr>
        <w:t>标准，企业测量设备</w:t>
      </w:r>
      <w:r>
        <w:rPr>
          <w:rFonts w:hint="eastAsia"/>
          <w:bCs/>
          <w:color w:val="000000" w:themeColor="text1"/>
          <w:szCs w:val="21"/>
          <w:lang w:val="en-US" w:eastAsia="zh-CN"/>
        </w:rPr>
        <w:t>均</w:t>
      </w:r>
      <w:r>
        <w:rPr>
          <w:rFonts w:hint="eastAsia"/>
          <w:bCs/>
          <w:color w:val="000000" w:themeColor="text1"/>
          <w:szCs w:val="21"/>
        </w:rPr>
        <w:t>送</w:t>
      </w:r>
      <w:r>
        <w:rPr>
          <w:rFonts w:hint="eastAsia"/>
          <w:color w:val="000000" w:themeColor="text1"/>
        </w:rPr>
        <w:t>中国测试技术研究院</w:t>
      </w:r>
      <w:r>
        <w:rPr>
          <w:color w:val="000000" w:themeColor="text1"/>
        </w:rPr>
        <w:t>、</w:t>
      </w:r>
      <w:r>
        <w:rPr>
          <w:rFonts w:hint="eastAsia"/>
          <w:color w:val="000000" w:themeColor="text1"/>
          <w:lang w:val="en-US" w:eastAsia="zh-CN"/>
        </w:rPr>
        <w:t>成都市计量</w:t>
      </w:r>
      <w:r>
        <w:rPr>
          <w:rFonts w:hint="eastAsia"/>
          <w:color w:val="000000" w:themeColor="text1"/>
        </w:rPr>
        <w:t>测试院</w:t>
      </w:r>
      <w:r>
        <w:rPr>
          <w:rFonts w:hint="eastAsia"/>
          <w:bCs/>
          <w:color w:val="000000" w:themeColor="text1"/>
          <w:szCs w:val="21"/>
          <w:lang w:eastAsia="zh-CN"/>
        </w:rPr>
        <w:t>等</w:t>
      </w:r>
      <w:r>
        <w:rPr>
          <w:rFonts w:hint="eastAsia"/>
          <w:bCs/>
          <w:color w:val="000000" w:themeColor="text1"/>
          <w:szCs w:val="21"/>
        </w:rPr>
        <w:t>检定/校准。抽查</w:t>
      </w:r>
      <w:r>
        <w:rPr>
          <w:rFonts w:hint="eastAsia"/>
          <w:bCs/>
          <w:color w:val="000000" w:themeColor="text1"/>
          <w:szCs w:val="21"/>
          <w:lang w:val="en-US" w:eastAsia="zh-CN"/>
        </w:rPr>
        <w:t>8</w:t>
      </w:r>
      <w:r>
        <w:rPr>
          <w:rFonts w:hint="eastAsia"/>
          <w:bCs/>
          <w:color w:val="000000" w:themeColor="text1"/>
          <w:szCs w:val="21"/>
        </w:rPr>
        <w:t>台测量设备检定/校准证书，溯源满足要求。</w:t>
      </w:r>
      <w:r>
        <w:rPr>
          <w:rFonts w:hint="eastAsia"/>
          <w:bCs/>
          <w:color w:val="000000" w:themeColor="text1"/>
          <w:szCs w:val="21"/>
          <w:lang w:val="en-US" w:eastAsia="zh-CN"/>
        </w:rPr>
        <w:t>详见</w:t>
      </w:r>
      <w:r>
        <w:rPr>
          <w:rFonts w:hint="eastAsia"/>
          <w:bCs/>
          <w:color w:val="000000" w:themeColor="text1"/>
          <w:szCs w:val="21"/>
        </w:rPr>
        <w:t>《测量设备溯源检查表》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bCs/>
          <w:color w:val="000000" w:themeColor="text1"/>
          <w:szCs w:val="21"/>
        </w:rPr>
      </w:pPr>
      <w:r>
        <w:rPr>
          <w:rFonts w:hint="eastAsia"/>
          <w:bCs/>
          <w:color w:val="000000" w:themeColor="text1"/>
          <w:szCs w:val="21"/>
          <w:lang w:val="en-US" w:eastAsia="zh-CN"/>
        </w:rPr>
        <w:t>企业</w:t>
      </w:r>
      <w:r>
        <w:rPr>
          <w:rFonts w:hint="eastAsia"/>
          <w:bCs/>
          <w:color w:val="000000" w:themeColor="text1"/>
          <w:szCs w:val="21"/>
        </w:rPr>
        <w:t>20</w:t>
      </w:r>
      <w:r>
        <w:rPr>
          <w:rFonts w:hint="eastAsia"/>
          <w:bCs/>
          <w:color w:val="000000" w:themeColor="text1"/>
          <w:szCs w:val="21"/>
          <w:lang w:val="en-US" w:eastAsia="zh-CN"/>
        </w:rPr>
        <w:t>22</w:t>
      </w:r>
      <w:r>
        <w:rPr>
          <w:rFonts w:hint="eastAsia"/>
          <w:bCs/>
          <w:color w:val="000000" w:themeColor="text1"/>
          <w:szCs w:val="21"/>
        </w:rPr>
        <w:t>年耗能</w:t>
      </w:r>
      <w:r>
        <w:rPr>
          <w:rFonts w:hint="eastAsia"/>
          <w:bCs/>
          <w:color w:val="000000" w:themeColor="text1"/>
          <w:szCs w:val="21"/>
          <w:lang w:val="en-US" w:eastAsia="zh-CN"/>
        </w:rPr>
        <w:t>70.969</w:t>
      </w:r>
      <w:r>
        <w:rPr>
          <w:rFonts w:hint="eastAsia"/>
          <w:bCs/>
          <w:color w:val="000000" w:themeColor="text1"/>
          <w:szCs w:val="21"/>
        </w:rPr>
        <w:t>吨标准煤。</w:t>
      </w:r>
      <w:r>
        <w:rPr>
          <w:rFonts w:hint="eastAsia"/>
          <w:bCs/>
          <w:color w:val="000000" w:themeColor="text1"/>
          <w:szCs w:val="21"/>
          <w:lang w:val="en-US" w:eastAsia="zh-CN"/>
        </w:rPr>
        <w:t>不是</w:t>
      </w:r>
      <w:r>
        <w:rPr>
          <w:rFonts w:hint="eastAsia"/>
          <w:bCs/>
          <w:color w:val="000000" w:themeColor="text1"/>
          <w:szCs w:val="21"/>
        </w:rPr>
        <w:t>重点耗能单位，企业能源测量设备配备率</w:t>
      </w:r>
      <w:r>
        <w:rPr>
          <w:rFonts w:hint="eastAsia"/>
          <w:bCs/>
          <w:color w:val="000000" w:themeColor="text1"/>
          <w:szCs w:val="21"/>
          <w:lang w:val="en-US" w:eastAsia="zh-CN"/>
        </w:rPr>
        <w:t>和准确度等级及计量检定</w:t>
      </w:r>
      <w:r>
        <w:rPr>
          <w:rFonts w:hint="eastAsia"/>
          <w:bCs/>
          <w:color w:val="000000" w:themeColor="text1"/>
          <w:szCs w:val="21"/>
        </w:rPr>
        <w:t>满足GB17167要求。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ind w:firstLine="420" w:firstLineChars="200"/>
        <w:jc w:val="left"/>
        <w:rPr>
          <w:rFonts w:cs="宋体" w:asciiTheme="minorEastAsia" w:hAnsiTheme="minorEastAsia"/>
          <w:color w:val="000000" w:themeColor="text1"/>
          <w:kern w:val="0"/>
          <w:szCs w:val="21"/>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22</w:t>
      </w:r>
      <w:r>
        <w:rPr>
          <w:rFonts w:hint="eastAsia" w:ascii="宋体" w:hAnsi="宋体" w:cs="宋体"/>
          <w:bCs/>
          <w:color w:val="000000" w:themeColor="text1"/>
          <w:kern w:val="0"/>
          <w:szCs w:val="21"/>
        </w:rPr>
        <w:t>年外审开出了一项不符合项报告：</w:t>
      </w:r>
      <w:r>
        <w:rPr>
          <w:rFonts w:hint="eastAsia" w:ascii="宋体" w:hAnsi="宋体" w:cs="宋体"/>
          <w:color w:val="000000" w:themeColor="text1"/>
          <w:kern w:val="0"/>
          <w:szCs w:val="21"/>
          <w:lang w:val="en-US" w:eastAsia="zh-CN"/>
        </w:rPr>
        <w:t>查看设备动力部《MP12-13监视和测量设备控制程序》 规定；扭力测试仪的校准间隔规定为3年,不能提供对所规定的校准间隔实施评审的记录。不符合</w:t>
      </w:r>
      <w:r>
        <w:rPr>
          <w:rFonts w:hint="eastAsia" w:ascii="宋体" w:hAnsi="宋体" w:cs="宋体"/>
          <w:color w:val="000000" w:themeColor="text1"/>
          <w:kern w:val="0"/>
          <w:szCs w:val="21"/>
          <w:u w:val="none"/>
          <w:lang w:val="en-US" w:eastAsia="zh-CN"/>
        </w:rPr>
        <w:t>GB/T19022标准 条款7.1.2的要求。</w:t>
      </w:r>
      <w:r>
        <w:rPr>
          <w:rFonts w:hint="eastAsia" w:ascii="宋体" w:hAnsi="宋体" w:cs="宋体"/>
          <w:bCs/>
          <w:color w:val="000000" w:themeColor="text1"/>
          <w:kern w:val="0"/>
          <w:szCs w:val="21"/>
        </w:rPr>
        <w:t>企业对不符合组织了纠正，1.</w:t>
      </w:r>
      <w:r>
        <w:rPr>
          <w:rFonts w:hint="eastAsia" w:ascii="宋体" w:hAnsi="宋体" w:cs="宋体"/>
          <w:color w:val="000000" w:themeColor="text1"/>
          <w:kern w:val="0"/>
          <w:szCs w:val="21"/>
          <w:lang w:val="en-US" w:eastAsia="zh-CN"/>
        </w:rPr>
        <w:t>设备动力部收集了该类测量设备校准间隔的有关资料并结合使用情况进行评审并记录</w:t>
      </w:r>
      <w:r>
        <w:rPr>
          <w:rFonts w:hint="eastAsia" w:ascii="宋体" w:hAnsi="宋体" w:cs="宋体"/>
          <w:bCs/>
          <w:color w:val="000000" w:themeColor="text1"/>
          <w:kern w:val="0"/>
          <w:szCs w:val="21"/>
        </w:rPr>
        <w:t>；2.</w:t>
      </w:r>
      <w:r>
        <w:rPr>
          <w:rFonts w:hint="eastAsia" w:ascii="宋体" w:hAnsi="宋体" w:cs="宋体"/>
          <w:bCs/>
          <w:color w:val="000000" w:themeColor="text1"/>
          <w:kern w:val="0"/>
          <w:szCs w:val="21"/>
          <w:lang w:val="en-US" w:eastAsia="zh-CN"/>
        </w:rPr>
        <w:t>对相关人员进行培训</w:t>
      </w:r>
      <w:r>
        <w:rPr>
          <w:rFonts w:hint="eastAsia" w:ascii="宋体" w:hAnsi="宋体" w:cs="宋体"/>
          <w:bCs/>
          <w:color w:val="000000" w:themeColor="text1"/>
          <w:kern w:val="0"/>
          <w:szCs w:val="21"/>
        </w:rPr>
        <w:t>避免相同问题重复发生。验证该不符合项纠正措施有效，同意关闭。</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年1月到1</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widowControl/>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10. 本次监督审核未发现不符合项，未发现严重的或系统性的不符合情况。</w:t>
      </w:r>
    </w:p>
    <w:p>
      <w:pPr>
        <w:widowControl/>
        <w:spacing w:line="360" w:lineRule="auto"/>
        <w:rPr>
          <w:rFonts w:hint="eastAsia" w:ascii="宋体" w:hAnsi="宋体" w:eastAsia="宋体" w:cs="Times New Roman"/>
          <w:color w:val="000000" w:themeColor="text1"/>
          <w:szCs w:val="21"/>
        </w:rPr>
      </w:pPr>
      <w:r>
        <w:rPr>
          <w:rFonts w:hint="eastAsia" w:cs="宋体" w:asciiTheme="minorEastAsia" w:hAnsiTheme="minorEastAsia"/>
          <w:bCs/>
          <w:color w:val="000000" w:themeColor="text1"/>
          <w:kern w:val="0"/>
          <w:szCs w:val="21"/>
          <w:lang w:val="en-US" w:eastAsia="zh-CN"/>
        </w:rPr>
        <w:t>11.</w:t>
      </w:r>
      <w:r>
        <w:rPr>
          <w:rFonts w:hint="eastAsia" w:ascii="宋体" w:hAnsi="宋体" w:eastAsia="宋体" w:cs="Times New Roman"/>
          <w:color w:val="000000" w:themeColor="text1"/>
          <w:szCs w:val="21"/>
        </w:rPr>
        <w:t>产品的销售</w:t>
      </w:r>
    </w:p>
    <w:p>
      <w:pPr>
        <w:spacing w:line="360" w:lineRule="auto"/>
        <w:ind w:firstLine="630" w:firstLineChars="300"/>
        <w:jc w:val="left"/>
        <w:rPr>
          <w:rFonts w:hint="eastAsia" w:ascii="宋体" w:hAnsi="宋体"/>
          <w:szCs w:val="21"/>
        </w:rPr>
      </w:pPr>
      <w:r>
        <w:rPr>
          <w:rFonts w:hint="eastAsia" w:ascii="宋体" w:hAnsi="宋体" w:eastAsia="宋体" w:cs="Times New Roman"/>
          <w:color w:val="000000" w:themeColor="text1"/>
          <w:szCs w:val="21"/>
        </w:rPr>
        <w:t>抽查</w:t>
      </w:r>
      <w:bookmarkStart w:id="10" w:name="审核范围"/>
      <w:r>
        <w:rPr>
          <w:rFonts w:hint="eastAsia" w:ascii="宋体" w:hAnsi="宋体"/>
          <w:szCs w:val="21"/>
        </w:rPr>
        <w:t>物联网平台、计算机软件的设计/研发、销售；物联网智能燃气表、物联网智能水表</w:t>
      </w:r>
      <w:bookmarkEnd w:id="10"/>
      <w:r>
        <w:rPr>
          <w:rFonts w:hint="eastAsia" w:ascii="宋体" w:hAnsi="宋体" w:eastAsia="宋体" w:cs="Times New Roman"/>
          <w:szCs w:val="21"/>
        </w:rPr>
        <w:t>的销售合同，</w:t>
      </w:r>
      <w:r>
        <w:rPr>
          <w:rFonts w:hint="eastAsia" w:ascii="宋体" w:hAnsi="宋体"/>
          <w:szCs w:val="21"/>
        </w:rPr>
        <w:t>现场重点抽查了企业的购销合同2份，确认了公司申请的产品的范围已覆盖了抽查的销售合同中的产品。确认了企业对应的产品生产过程涉及有对应的测量过程和测量设备，测量设备的配备可满足该合同产品的生产和检验要求。</w:t>
      </w:r>
    </w:p>
    <w:p>
      <w:pPr>
        <w:spacing w:line="360" w:lineRule="auto"/>
        <w:jc w:val="left"/>
        <w:rPr>
          <w:rFonts w:hint="eastAsia" w:ascii="宋体" w:hAnsi="宋体"/>
          <w:szCs w:val="21"/>
        </w:rPr>
      </w:pPr>
      <w:r>
        <w:rPr>
          <w:rFonts w:hint="eastAsia" w:ascii="宋体" w:hAnsi="宋体"/>
          <w:szCs w:val="21"/>
        </w:rPr>
        <w:t>抽查：产品购销合同，需方为</w:t>
      </w:r>
      <w:r>
        <w:rPr>
          <w:rFonts w:hint="eastAsia" w:ascii="宋体" w:hAnsi="宋体"/>
          <w:szCs w:val="21"/>
          <w:lang w:val="en-US" w:eastAsia="zh-CN"/>
        </w:rPr>
        <w:t>哈尔滨新奥燃气有限公司</w:t>
      </w:r>
      <w:r>
        <w:rPr>
          <w:rFonts w:hint="eastAsia" w:ascii="宋体" w:hAnsi="宋体"/>
          <w:szCs w:val="21"/>
        </w:rPr>
        <w:t>，合同</w:t>
      </w:r>
      <w:r>
        <w:rPr>
          <w:rFonts w:hint="eastAsia" w:ascii="宋体" w:hAnsi="宋体"/>
          <w:szCs w:val="21"/>
          <w:lang w:val="en-US" w:eastAsia="zh-CN"/>
        </w:rPr>
        <w:t>编号：QT20220822-118,</w:t>
      </w:r>
      <w:r>
        <w:rPr>
          <w:rFonts w:hint="eastAsia" w:ascii="宋体" w:hAnsi="宋体"/>
          <w:szCs w:val="21"/>
        </w:rPr>
        <w:t>签订时间2022年</w:t>
      </w:r>
      <w:r>
        <w:rPr>
          <w:rFonts w:hint="eastAsia" w:ascii="宋体" w:hAnsi="宋体"/>
          <w:szCs w:val="21"/>
          <w:lang w:val="en-US" w:eastAsia="zh-CN"/>
        </w:rPr>
        <w:t>08</w:t>
      </w:r>
      <w:r>
        <w:rPr>
          <w:rFonts w:hint="eastAsia" w:ascii="宋体" w:hAnsi="宋体"/>
          <w:szCs w:val="21"/>
        </w:rPr>
        <w:t>月</w:t>
      </w:r>
      <w:r>
        <w:rPr>
          <w:rFonts w:hint="eastAsia" w:ascii="宋体" w:hAnsi="宋体"/>
          <w:szCs w:val="21"/>
          <w:lang w:val="en-US" w:eastAsia="zh-CN"/>
        </w:rPr>
        <w:t>24</w:t>
      </w:r>
      <w:r>
        <w:rPr>
          <w:rFonts w:hint="eastAsia" w:ascii="宋体" w:hAnsi="宋体"/>
          <w:szCs w:val="21"/>
        </w:rPr>
        <w:t>日， 产品包括：</w:t>
      </w:r>
      <w:r>
        <w:rPr>
          <w:rFonts w:hint="eastAsia" w:ascii="宋体" w:hAnsi="宋体"/>
          <w:szCs w:val="21"/>
          <w:lang w:val="en-US" w:eastAsia="zh-CN"/>
        </w:rPr>
        <w:t>IC卡表和NB表操作动态库（DLL)和接口库函数的说明技术文档，及技术支持服务</w:t>
      </w:r>
      <w:r>
        <w:rPr>
          <w:rFonts w:hint="eastAsia" w:ascii="宋体" w:hAnsi="宋体"/>
          <w:szCs w:val="21"/>
        </w:rPr>
        <w:t>，合同内对质量标准及技术要求做了说明，即公司供应的产品保证符合国家标准、企业标准</w:t>
      </w:r>
      <w:r>
        <w:rPr>
          <w:rFonts w:hint="eastAsia" w:ascii="宋体" w:hAnsi="宋体"/>
          <w:szCs w:val="21"/>
          <w:lang w:eastAsia="zh-CN"/>
        </w:rPr>
        <w:t>、</w:t>
      </w:r>
      <w:r>
        <w:rPr>
          <w:rFonts w:hint="eastAsia" w:ascii="宋体" w:hAnsi="宋体"/>
          <w:szCs w:val="21"/>
          <w:lang w:val="en-US" w:eastAsia="zh-CN"/>
        </w:rPr>
        <w:t>及售后服务</w:t>
      </w:r>
      <w:r>
        <w:rPr>
          <w:rFonts w:hint="eastAsia" w:ascii="宋体" w:hAnsi="宋体"/>
          <w:szCs w:val="21"/>
        </w:rPr>
        <w:t>；对质保期从出厂之日计算至12个月内，对验收标准、方法及异议处理做了描述。</w:t>
      </w:r>
    </w:p>
    <w:p>
      <w:pPr>
        <w:widowControl/>
        <w:spacing w:line="360" w:lineRule="auto"/>
        <w:ind w:firstLine="420" w:firstLineChars="200"/>
        <w:rPr>
          <w:rFonts w:hint="eastAsia" w:cs="宋体" w:asciiTheme="minorEastAsia" w:hAnsiTheme="minorEastAsia"/>
          <w:bCs/>
          <w:color w:val="0070C0"/>
          <w:kern w:val="0"/>
          <w:szCs w:val="21"/>
        </w:rPr>
      </w:pPr>
      <w:r>
        <w:rPr>
          <w:rFonts w:hint="eastAsia" w:ascii="宋体" w:hAnsi="宋体"/>
          <w:szCs w:val="21"/>
        </w:rPr>
        <w:t>抽查：产品购销合同，需方为</w:t>
      </w:r>
      <w:r>
        <w:rPr>
          <w:rFonts w:hint="eastAsia" w:ascii="宋体" w:hAnsi="宋体"/>
          <w:szCs w:val="21"/>
          <w:lang w:val="en-US" w:eastAsia="zh-CN"/>
        </w:rPr>
        <w:t>山东宇通燃气有限公司</w:t>
      </w:r>
      <w:r>
        <w:rPr>
          <w:rFonts w:hint="eastAsia" w:ascii="宋体" w:hAnsi="宋体"/>
          <w:szCs w:val="21"/>
        </w:rPr>
        <w:t>，合同</w:t>
      </w:r>
      <w:r>
        <w:rPr>
          <w:rFonts w:hint="eastAsia" w:ascii="宋体" w:hAnsi="宋体"/>
          <w:szCs w:val="21"/>
          <w:lang w:val="en-US" w:eastAsia="zh-CN"/>
        </w:rPr>
        <w:t>编号为：QCSC20221110-583，</w:t>
      </w:r>
      <w:r>
        <w:rPr>
          <w:rFonts w:hint="eastAsia" w:ascii="宋体" w:hAnsi="宋体"/>
          <w:szCs w:val="21"/>
        </w:rPr>
        <w:t>合同签订时间2022年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 合同内对质量标准及技术要求做了说明，即公司供应的产品保证符合国家标准、企业标准</w:t>
      </w:r>
      <w:r>
        <w:rPr>
          <w:rFonts w:hint="eastAsia" w:ascii="宋体" w:hAnsi="宋体"/>
          <w:szCs w:val="21"/>
          <w:lang w:eastAsia="zh-CN"/>
        </w:rPr>
        <w:t>、</w:t>
      </w:r>
      <w:r>
        <w:rPr>
          <w:rFonts w:hint="eastAsia" w:ascii="宋体" w:hAnsi="宋体"/>
          <w:szCs w:val="21"/>
          <w:lang w:val="en-US" w:eastAsia="zh-CN"/>
        </w:rPr>
        <w:t>及售后服务</w:t>
      </w:r>
      <w:r>
        <w:rPr>
          <w:rFonts w:hint="eastAsia" w:ascii="宋体" w:hAnsi="宋体"/>
          <w:szCs w:val="21"/>
        </w:rPr>
        <w:t>；对验收标准、方法及异议处理做了描述。</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23</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3</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7</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hint="eastAsia" w:ascii="宋体" w:hAnsi="宋体" w:eastAsia="宋体"/>
          <w:color w:val="000000" w:themeColor="text1"/>
          <w:sz w:val="21"/>
          <w:szCs w:val="21"/>
          <w:lang w:val="en-US" w:eastAsia="zh-CN"/>
        </w:rPr>
        <w:t>8</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cs="宋体" w:asciiTheme="minorEastAsia" w:hAnsiTheme="minorEastAsia"/>
          <w:color w:val="000000" w:themeColor="text1"/>
          <w:kern w:val="0"/>
          <w:szCs w:val="21"/>
        </w:rPr>
        <w:t>成都秦川物联网科技股份有限公司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rPr>
        <w:t>成都秦川物联网科技股份有限公司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360" w:lineRule="auto"/>
        <w:jc w:val="left"/>
        <w:rPr>
          <w:rFonts w:ascii="宋体" w:hAnsi="宋体" w:cs="宋体"/>
          <w:kern w:val="0"/>
          <w:szCs w:val="21"/>
        </w:rPr>
      </w:pPr>
      <w:bookmarkStart w:id="12" w:name="_GoBack"/>
      <w:bookmarkEnd w:id="12"/>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李俐</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2023.3.8</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陈万荣</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2023.3.8</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 xml:space="preserve">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282084F"/>
    <w:rsid w:val="2D1F12BC"/>
    <w:rsid w:val="3CE80E0D"/>
    <w:rsid w:val="51C07B1A"/>
    <w:rsid w:val="53CB2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1</TotalTime>
  <ScaleCrop>false</ScaleCrop>
  <LinksUpToDate>false</LinksUpToDate>
  <CharactersWithSpaces>2165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2023-03-07T08:38:44Z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3095AEE386AF47CAADE7932004E58D85</vt:lpwstr>
  </property>
</Properties>
</file>