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霸州市鑫智教学设备有限公司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河北省廊坊市霸州市王庄子乡王庄子村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6" w:name="_GoBack"/>
            <w:r>
              <w:rPr>
                <w:rFonts w:asciiTheme="minorEastAsia" w:hAnsiTheme="minorEastAsia" w:eastAsiaTheme="minorEastAsia"/>
                <w:sz w:val="20"/>
              </w:rPr>
              <w:t>河北省廊坊市霸州市煎茶铺镇中台山村北</w:t>
            </w:r>
            <w:bookmarkEnd w:id="36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杨合香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13932647773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947281859@qq.com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0035-2023-QEO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E：钢木家具（课桌凳、课桌椅、上下床、餐桌椅、排椅）的生产和销售所涉及场所的相关环境管理活动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Q：钢木家具（课桌凳、课桌椅、上下床、餐桌椅、排椅）的生产和销售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O：钢木家具（课桌凳、课桌椅、上下床、餐桌椅、排椅）的生产和销售所涉及场所的相关职业健康安全管理活动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E：23.01.01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Q：23.01.01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O：23.01.01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2023年03月02日 上午至2023年03月03日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朱晓丽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2021-N1EMS-3205805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2022-N1OHSMS-1205805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2023.02.28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2023.02.28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2023.02.28</w:t>
            </w:r>
          </w:p>
        </w:tc>
      </w:tr>
    </w:tbl>
    <w:p/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73"/>
        <w:gridCol w:w="6509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2023.3.2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管理层：</w:t>
            </w:r>
            <w:r>
              <w:rPr>
                <w:rFonts w:hint="eastAsia"/>
                <w:color w:val="auto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环境因素；</w:t>
            </w:r>
            <w:r>
              <w:rPr>
                <w:rFonts w:hint="eastAsia"/>
                <w:color w:val="auto"/>
                <w:sz w:val="21"/>
                <w:szCs w:val="21"/>
              </w:rPr>
              <w:t>危险源辨识、风险评价；沟通、参与、协商；合规性评价；监视和测量总则；管理评审；总则；持续改进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QEO：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/>
                <w:sz w:val="21"/>
                <w:szCs w:val="21"/>
              </w:rPr>
              <w:t>5.1/5.2/5.3/6.1/6.2/7.1/9.1.1/9.3/10.1/10.3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/>
                <w:sz w:val="21"/>
                <w:szCs w:val="21"/>
              </w:rPr>
              <w:t>6.3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组织的岗位、职责权限；文件化信息；文件总则/管理手册、文件和记录控制；人员、组织知识；能力；意识；沟通；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参与、协商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；运行策划和控制；应急准备和响应；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7.1.2/7.1.6/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7.2/7.3/7.4/7.5/8.1/8.2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；O5.4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识别评价；</w:t>
            </w:r>
            <w:r>
              <w:rPr>
                <w:rFonts w:hint="eastAsia"/>
                <w:sz w:val="21"/>
                <w:szCs w:val="21"/>
              </w:rPr>
              <w:t>运行策划和控制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目标、指标管理方案；环境因素/危险源识别评价；合规义务；法律法规要求；绩效的监视和测量；合规性评价；事件、不合格及纠正和预防措施控制；内部审核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6.2/9.1/9.2/10.2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6.1.2/6.1.3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/6.1.4/9.1.2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/>
                <w:b/>
                <w:bCs/>
                <w:sz w:val="21"/>
                <w:szCs w:val="21"/>
              </w:rPr>
              <w:t>部：</w:t>
            </w:r>
            <w:r>
              <w:rPr>
                <w:rFonts w:hint="eastAsia"/>
                <w:sz w:val="21"/>
                <w:szCs w:val="21"/>
              </w:rPr>
              <w:t>组织的岗位、职责权限；目标；监视和测量资源；运行的策划和控制；产品和服务的放行；不合格输出的控制；环境因素、危险源辨识、风险评价和控制措施的确定；应急准备和响应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 5.3/6.2/7.1.5/8.6/8.7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2023.3.3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b/>
                <w:bCs/>
                <w:sz w:val="21"/>
                <w:szCs w:val="21"/>
              </w:rPr>
              <w:t>部：</w:t>
            </w:r>
            <w:r>
              <w:rPr>
                <w:rFonts w:hint="eastAsia"/>
                <w:sz w:val="21"/>
                <w:szCs w:val="21"/>
              </w:rPr>
              <w:t>组织的岗位、职责权限；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eastAsia"/>
                <w:sz w:val="21"/>
                <w:szCs w:val="21"/>
              </w:rPr>
              <w:t>目标；基础设施；运行环境；运行的策划和控制；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5.4/</w:t>
            </w:r>
            <w:r>
              <w:rPr>
                <w:rFonts w:hint="eastAsia"/>
                <w:sz w:val="21"/>
                <w:szCs w:val="21"/>
              </w:rPr>
              <w:t>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业务部：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组织的岗位、职责权限；目标、指标管理方案；环境因素/危险源识别评价；外部提供的过程、产品和服务的控制；产品和服务要求；顾客或外部供方财产；交付后活动；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8.5.1/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28B5613B"/>
    <w:rsid w:val="5490238C"/>
    <w:rsid w:val="6DB731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2104</Words>
  <Characters>3227</Characters>
  <Lines>37</Lines>
  <Paragraphs>10</Paragraphs>
  <TotalTime>132</TotalTime>
  <ScaleCrop>false</ScaleCrop>
  <LinksUpToDate>false</LinksUpToDate>
  <CharactersWithSpaces>3283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2023-03-02T09:32:45Z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