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沧州浩兴管道有限公司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毕彦腾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u w:val="single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u w:val="single"/>
                <w:lang w:val="en-US" w:eastAsia="zh-CN"/>
              </w:rPr>
              <w:t>湖南伟博水艺环境科技有限公司合同</w:t>
            </w:r>
            <w:r>
              <w:rPr>
                <w:rFonts w:hint="eastAsia" w:ascii="方正仿宋简体" w:hAnsi="Times New Roman" w:eastAsia="方正仿宋简体" w:cs="Times New Roman"/>
                <w:b/>
                <w:u w:val="single"/>
              </w:rPr>
              <w:t>的评审，未能提供相关证据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NzFjZWYyNTFiOTA5Yjg2ZDYzYmU2NjMxM2YyNWMifQ=="/>
  </w:docVars>
  <w:rsids>
    <w:rsidRoot w:val="00000000"/>
    <w:rsid w:val="03DB0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376</Words>
  <Characters>545</Characters>
  <Lines>6</Lines>
  <Paragraphs>1</Paragraphs>
  <TotalTime>2</TotalTime>
  <ScaleCrop>false</ScaleCrop>
  <LinksUpToDate>false</LinksUpToDate>
  <CharactersWithSpaces>809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HP</cp:lastModifiedBy>
  <cp:lastPrinted>2019-05-13T03:02:00Z</cp:lastPrinted>
  <dcterms:modified xsi:type="dcterms:W3CDTF">2023-02-27T03:42:39Z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