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  <w:r>
        <w:rPr>
          <w:rFonts w:hint="eastAsia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浙江华艺盛纺织股份有限公司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浙江省湖州市南浔区石淙镇镇西工业区588号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浙江省湖州市南浔区石淙镇镇西工业区588号/浙江省湖州市南浔区善琏镇富祥路288号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谈雅梅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15088390691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956570476@qq.com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0145-2021-QEOEnMS-2023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Q：胚布、围巾、丝巾的设计、生产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E：胚布、围巾、丝巾的设计、生产所涉及场所的相关环境管理活动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O：胚布、围巾、丝巾的设计、生产所涉及场所的相关职业健康安全管理活动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O：04.02.00</w:t>
            </w:r>
            <w:bookmarkEnd w:id="24"/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cols w:space="425" w:num="1"/>
          <w:docGrid w:type="lines" w:linePitch="326" w:charSpace="0"/>
        </w:sectPr>
      </w:pP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21985" cy="9459595"/>
            <wp:effectExtent l="0" t="0" r="5715" b="1905"/>
            <wp:docPr id="4" name="图片 4" descr="01415a39de485885f3edc987b336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415a39de485885f3edc987b336c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945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737" w:tblpY="383"/>
        <w:tblOverlap w:val="never"/>
        <w:tblW w:w="10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20"/>
        <w:gridCol w:w="1156"/>
        <w:gridCol w:w="34"/>
        <w:gridCol w:w="3570"/>
        <w:gridCol w:w="40"/>
        <w:gridCol w:w="187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751" w:type="dxa"/>
            <w:gridSpan w:val="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14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审核内容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0751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670" w:type="dxa"/>
            <w:gridSpan w:val="5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最高管理者、各部门负责人、员工代表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4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2023.3.2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09:30-12:00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604" w:type="dxa"/>
            <w:gridSpan w:val="2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组织所处的环境（包括内外部因素/问题/议题、相关方及其需求和期望、管理体系范围）；2.管理体系的过程策划及其变更；3.方针与目标管理；4.组织架构与职能分配；5.沟通控制及员工协商和参与机制；6.应对风险和机遇的汇总管理；7.</w:t>
            </w:r>
            <w:r>
              <w:rPr>
                <w:rFonts w:hint="eastAsia"/>
                <w:sz w:val="21"/>
                <w:szCs w:val="21"/>
              </w:rPr>
              <w:t>资源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保障总体情况；8.内审和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9持续改进总体情况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QEO：4.1、4.2、4.3、4.4/6.3（Q）、5.1、5.2/6.2、5.3、5.4（O）/7.4、6.1（Q）/6.1.1/6.1.4（EO）、7.1.1（Q）/7.1（EO）、9.2、9.3、10.1/10.3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7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2.目标分解落实情况；3.人力资源管理；4.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监视、测量、分析和评价总则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5.知识管理；6.环境因素和危险源管理汇总；7.合规义务及其合规性能评价；8.EO运行策划与控制；9.应急准备和响应；10.事故/事件纠正及其纠正措施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7.1.2（Q）/7.2/7.3</w:t>
            </w: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、9.1.1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EO：6.1.2/6.1.4、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6.1.3/9.1.2、</w:t>
            </w: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8.1、8.2、10.2</w:t>
            </w:r>
            <w:bookmarkStart w:id="25" w:name="_GoBack"/>
            <w:bookmarkEnd w:id="25"/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2.目标分解落实情况；3.销售过程及顾客财产控制；5.售后及顾客满意情况；6.EO运行策划与控制；7.应急准备和响应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QEO：5.3、6.2、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Q：8.2、8.5.3、8.5.5/9.1.2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EO：8.1、8.2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16:30-18:00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2.目标分解落实情况；3.采购过程及供方财产控制；5.EO运行策划与控制；6.应急准备和响应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QEO：5.3、6.2、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Q：8.4、8.5.3、</w:t>
            </w:r>
          </w:p>
          <w:p>
            <w:pPr>
              <w:spacing w:line="300" w:lineRule="exact"/>
              <w:jc w:val="left"/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EO：8.1、8.2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0751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4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2023.3.3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08:00-12:00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研发部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2.目标分解落实情况；3.生产工艺策划与变更控制；4.研发过程控制；5.EO运行策划与控制；6.应急准备和响应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Q：8.1/8.5.6、8.3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EO：8.1、8.2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7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default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午餐休息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13:00-18:00</w:t>
            </w:r>
          </w:p>
        </w:tc>
        <w:tc>
          <w:tcPr>
            <w:tcW w:w="1156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6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2.目标分解落实情况；3.生产过程控制；4.EO运行策划与控制；5.应急准备与响应；6.EO运行策划与控制；7.应急准备和响应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Q：8.5.1、8.5.2、8.5.4</w:t>
            </w:r>
          </w:p>
          <w:p>
            <w:pPr>
              <w:spacing w:line="3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EO：8.1、8.2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51" w:type="dxa"/>
            <w:gridSpan w:val="8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jc w:val="center"/>
              <w:rPr>
                <w:rFonts w:hint="default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u w:val="none"/>
                <w:lang w:val="en-US" w:eastAsia="zh-CN"/>
              </w:rPr>
              <w:t>第三天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10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2023.3.4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09:00-12:00</w:t>
            </w:r>
          </w:p>
        </w:tc>
        <w:tc>
          <w:tcPr>
            <w:tcW w:w="1190" w:type="dxa"/>
            <w:gridSpan w:val="2"/>
            <w:shd w:val="clear" w:color="auto" w:fill="FFFFFF" w:themeFill="background1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质检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部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1.部门职能与权限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2.目标分解落实情况；3.计量器具管理；4.产品的放行；5.不合格产品的处置及其纠正措施；6.分析和评价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>
            <w:pPr>
              <w:spacing w:line="30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QEO：5.3、6.2、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u w:val="none"/>
                <w:lang w:val="en-US" w:eastAsia="zh-CN" w:bidi="ar-SA"/>
              </w:rPr>
              <w:t>Q：7.1.5、8.6、8.7/10.2、9.1.3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70" w:type="dxa"/>
            <w:gridSpan w:val="5"/>
            <w:shd w:val="clear" w:color="auto" w:fill="FFFFFF" w:themeFill="background1"/>
            <w:vAlign w:val="center"/>
          </w:tcPr>
          <w:p>
            <w:pPr>
              <w:pStyle w:val="2"/>
              <w:jc w:val="left"/>
              <w:rPr>
                <w:rFonts w:hint="default" w:eastAsia="宋体"/>
                <w:b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u w:val="none"/>
                <w:lang w:val="en-US" w:eastAsia="zh-CN"/>
              </w:rPr>
              <w:t>午餐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2"/>
              <w:jc w:val="center"/>
              <w:rPr>
                <w:rFonts w:hint="default"/>
                <w:b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670" w:type="dxa"/>
            <w:gridSpan w:val="5"/>
            <w:shd w:val="clear" w:color="auto" w:fill="FFFFFF" w:themeFill="background1"/>
            <w:vAlign w:val="center"/>
          </w:tcPr>
          <w:p>
            <w:pPr>
              <w:pStyle w:val="2"/>
              <w:jc w:val="left"/>
              <w:rPr>
                <w:rFonts w:hint="default"/>
                <w:b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u w:val="none"/>
                <w:lang w:val="en-US" w:eastAsia="zh-CN"/>
              </w:rPr>
              <w:t>审核组补充整理审核档案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2"/>
              <w:jc w:val="center"/>
              <w:rPr>
                <w:rFonts w:hint="default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70" w:type="dxa"/>
            <w:gridSpan w:val="5"/>
            <w:shd w:val="clear" w:color="auto" w:fill="FFFFFF" w:themeFill="background1"/>
            <w:vAlign w:val="center"/>
          </w:tcPr>
          <w:p>
            <w:pPr>
              <w:pStyle w:val="2"/>
              <w:jc w:val="left"/>
              <w:rPr>
                <w:rFonts w:hint="default"/>
                <w:b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u w:val="none"/>
                <w:lang w:val="en-US" w:eastAsia="zh-CN"/>
              </w:rPr>
              <w:t>与受审核方最高管理者沟通审核结果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pStyle w:val="2"/>
              <w:jc w:val="center"/>
              <w:rPr>
                <w:rFonts w:hint="default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4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6670" w:type="dxa"/>
            <w:gridSpan w:val="5"/>
          </w:tcPr>
          <w:p>
            <w:pPr>
              <w:spacing w:line="300" w:lineRule="exact"/>
              <w:rPr>
                <w:rFonts w:hint="default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最高管理者、各部门负责人、员工代表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u w:val="none"/>
                <w:lang w:val="en-US" w:eastAsia="zh-CN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28916DF"/>
    <w:rsid w:val="0B2A3CDE"/>
    <w:rsid w:val="0BFB3C5F"/>
    <w:rsid w:val="0D4A5F0F"/>
    <w:rsid w:val="107E65FB"/>
    <w:rsid w:val="11A55E09"/>
    <w:rsid w:val="17710C68"/>
    <w:rsid w:val="1973708C"/>
    <w:rsid w:val="1EE17A54"/>
    <w:rsid w:val="1F3139B1"/>
    <w:rsid w:val="218E0668"/>
    <w:rsid w:val="22056B7C"/>
    <w:rsid w:val="24BB79C6"/>
    <w:rsid w:val="253A2F1B"/>
    <w:rsid w:val="26C64244"/>
    <w:rsid w:val="2F3B683F"/>
    <w:rsid w:val="348A5575"/>
    <w:rsid w:val="3627310D"/>
    <w:rsid w:val="38113EF3"/>
    <w:rsid w:val="49423962"/>
    <w:rsid w:val="4CEF71A5"/>
    <w:rsid w:val="51E85641"/>
    <w:rsid w:val="575F5238"/>
    <w:rsid w:val="579E26AC"/>
    <w:rsid w:val="596F60AE"/>
    <w:rsid w:val="604364E6"/>
    <w:rsid w:val="65553908"/>
    <w:rsid w:val="67136C3B"/>
    <w:rsid w:val="704E3A0C"/>
    <w:rsid w:val="73D03795"/>
    <w:rsid w:val="75581C94"/>
    <w:rsid w:val="78247AC8"/>
    <w:rsid w:val="7DCD6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2023-03-03T13:57:10Z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