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林兵  王央央</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34D15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2023-03-06T07:00:16Z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