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1155-2021-Q-2023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重庆航程电力设备有限公司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重庆航程电力设备有限公司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重庆市江北区港宁路16号11幢1号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重庆市巴南区南泉街道红旗村2组</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瞿江</w:t>
            </w:r>
            <w:bookmarkEnd w:id="10"/>
          </w:p>
        </w:tc>
        <w:tc>
          <w:tcPr>
            <w:tcW w:w="1313" w:type="dxa"/>
            <w:vAlign w:val="center"/>
          </w:tcPr>
          <w:p>
            <w:r>
              <w:rPr>
                <w:rFonts w:hint="eastAsia"/>
              </w:rPr>
              <w:t>电话.</w:t>
            </w:r>
          </w:p>
        </w:tc>
        <w:tc>
          <w:tcPr>
            <w:tcW w:w="2180" w:type="dxa"/>
            <w:vAlign w:val="center"/>
          </w:tcPr>
          <w:p>
            <w:bookmarkStart w:id="11" w:name="联系人电话"/>
            <w:r>
              <w:t>13808376732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瞿江</w:t>
            </w:r>
            <w:bookmarkEnd w:id="13"/>
          </w:p>
        </w:tc>
        <w:tc>
          <w:tcPr>
            <w:tcW w:w="1313" w:type="dxa"/>
            <w:vAlign w:val="center"/>
          </w:tcPr>
          <w:p>
            <w:r>
              <w:rPr>
                <w:rFonts w:hint="eastAsia"/>
              </w:rPr>
              <w:t>管理者代表</w:t>
            </w:r>
          </w:p>
        </w:tc>
        <w:tc>
          <w:tcPr>
            <w:tcW w:w="2180" w:type="dxa"/>
          </w:tcPr>
          <w:p>
            <w:bookmarkStart w:id="14" w:name="管理者代表"/>
            <w:r>
              <w:t>瞿江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420" w:firstLineChars="200"/>
              <w:rPr>
                <w:rFonts w:hint="eastAsia" w:ascii="宋体" w:hAnsi="宋体"/>
                <w:szCs w:val="21"/>
                <w:highlight w:val="none"/>
              </w:rPr>
            </w:pPr>
            <w:r>
              <w:rPr>
                <w:rFonts w:hint="eastAsia"/>
                <w:szCs w:val="21"/>
                <w:highlight w:val="none"/>
              </w:rPr>
              <w:t>采购</w:t>
            </w:r>
            <w:r>
              <w:rPr>
                <w:rFonts w:hint="eastAsia" w:ascii="宋体" w:hAnsi="宋体"/>
                <w:szCs w:val="21"/>
                <w:highlight w:val="none"/>
              </w:rPr>
              <w:t>验收—下料（需要时）—冲压成型—焊接（需要时）—喷塑（需要时）—检验—入库交付。</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2023年03月01日 上午至2023年03月01日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w:t>
            </w:r>
            <w:bookmarkStart w:id="34" w:name="_GoBack"/>
            <w:bookmarkEnd w:id="34"/>
            <w:r>
              <w:rPr>
                <w:rFonts w:hint="eastAsia"/>
              </w:rPr>
              <w:t>审核</w:t>
            </w:r>
            <w:bookmarkStart w:id="27" w:name="再认证勾选"/>
            <w:r>
              <w:rPr>
                <w:rFonts w:hint="eastAsia" w:ascii="宋体" w:hAnsi="宋体" w:cs="宋体"/>
                <w:color w:val="FF0000"/>
                <w:kern w:val="0"/>
                <w:sz w:val="24"/>
                <w:szCs w:val="24"/>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重庆市巴南区南泉街道红旗村2组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电缆桥架及配件（电缆支架、抱箍）的生产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17.06.01;17.12.05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sz w:val="21"/>
                <w:szCs w:val="21"/>
                <w:u w:val="none"/>
                <w:lang w:val="en-US" w:eastAsia="zh-CN"/>
              </w:rPr>
              <w:t>2021年06月10日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lang w:val="en-US" w:eastAsia="zh-CN"/>
              </w:rPr>
              <w:t>2021年11月9日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重庆航程电力设备有限公司</w:t>
            </w:r>
            <w:r>
              <w:rPr>
                <w:rFonts w:hint="eastAsia"/>
                <w:sz w:val="21"/>
                <w:szCs w:val="21"/>
              </w:rPr>
              <w:t xml:space="preserve"> </w:t>
            </w:r>
            <w:r>
              <w:rPr>
                <w:rFonts w:hint="eastAsia"/>
                <w:sz w:val="21"/>
                <w:szCs w:val="21"/>
                <w:lang w:val="en-US" w:eastAsia="zh-CN"/>
              </w:rPr>
              <w:t>/</w:t>
            </w:r>
            <w:r>
              <w:rPr>
                <w:sz w:val="21"/>
                <w:szCs w:val="21"/>
              </w:rPr>
              <w:t xml:space="preserve">重庆市江北区港宁路16号11幢1号 </w:t>
            </w:r>
          </w:p>
        </w:tc>
        <w:tc>
          <w:tcPr>
            <w:tcW w:w="2267" w:type="dxa"/>
            <w:vAlign w:val="top"/>
          </w:tcPr>
          <w:p>
            <w:pPr>
              <w:rPr>
                <w:lang w:val="de-DE" w:eastAsia="ja-JP"/>
              </w:rPr>
            </w:pPr>
            <w:r>
              <w:rPr>
                <w:sz w:val="21"/>
                <w:szCs w:val="21"/>
              </w:rPr>
              <w:t>重庆市巴南区南泉街道红旗村2组</w:t>
            </w:r>
          </w:p>
        </w:tc>
        <w:tc>
          <w:tcPr>
            <w:tcW w:w="571" w:type="dxa"/>
            <w:vAlign w:val="center"/>
          </w:tcPr>
          <w:p>
            <w:pPr>
              <w:rPr>
                <w:lang w:eastAsia="ja-JP"/>
              </w:rPr>
            </w:pPr>
            <w:r>
              <w:rPr>
                <w:rFonts w:hint="eastAsia"/>
                <w:lang w:val="en-US" w:eastAsia="zh-CN"/>
              </w:rPr>
              <w:t>15</w:t>
            </w:r>
          </w:p>
        </w:tc>
        <w:tc>
          <w:tcPr>
            <w:tcW w:w="2803" w:type="dxa"/>
            <w:vAlign w:val="center"/>
          </w:tcPr>
          <w:p>
            <w:pPr>
              <w:rPr>
                <w:lang w:eastAsia="ja-JP"/>
              </w:rPr>
            </w:pPr>
            <w:r>
              <w:rPr>
                <w:sz w:val="20"/>
              </w:rPr>
              <w:t>电缆桥架及配件（电缆支架、抱箍）的生产</w:t>
            </w:r>
          </w:p>
        </w:tc>
        <w:tc>
          <w:tcPr>
            <w:tcW w:w="669" w:type="dxa"/>
            <w:vAlign w:val="center"/>
          </w:tcPr>
          <w:p>
            <w:pPr>
              <w:spacing w:before="40" w:after="40"/>
              <w:rPr>
                <w:lang w:eastAsia="ja-JP"/>
              </w:rPr>
            </w:pPr>
            <w:r>
              <w:rPr>
                <w:rFonts w:hint="eastAsia" w:ascii="宋体" w:hAnsi="宋体"/>
                <w:b/>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color w:val="000000"/>
                    <w:kern w:val="0"/>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17.06.01,17.12.05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color w:val="auto"/>
                <w:kern w:val="2"/>
                <w:sz w:val="21"/>
                <w:szCs w:val="22"/>
                <w:highlight w:val="none"/>
                <w:lang w:val="en-US" w:eastAsia="zh-CN" w:bidi="ar-SA"/>
              </w:rPr>
              <w:t>上次不符合为生产部Q7.1.5条款，经本次审核验证均整改且无类似不符合情况出现。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电缆桥架及配件（电缆支架、抱箍）的生产</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杨珍全</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2023年3月1日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lang w:val="en-GB"/>
              </w:rPr>
              <w:t>：</w:t>
            </w:r>
            <w:r>
              <w:rPr>
                <w:rFonts w:hint="eastAsia" w:ascii="Times New Roman" w:hAnsi="Times New Roman" w:eastAsia="宋体" w:cs="Times New Roman"/>
                <w:lang w:val="en-GB" w:eastAsia="zh-CN"/>
              </w:rPr>
              <w:t>“</w:t>
            </w:r>
            <w:r>
              <w:rPr>
                <w:rFonts w:hint="eastAsia" w:ascii="Times New Roman" w:hAnsi="Times New Roman" w:eastAsia="宋体" w:cs="Times New Roman"/>
                <w:b w:val="0"/>
                <w:bCs w:val="0"/>
                <w:color w:val="000000"/>
                <w:kern w:val="2"/>
                <w:sz w:val="21"/>
                <w:szCs w:val="18"/>
                <w:u w:val="single"/>
                <w:lang w:val="en-US" w:eastAsia="zh-CN" w:bidi="ar-SA"/>
              </w:rPr>
              <w:t>优质、高效、诚信、创新、诚信为本 客户至上 服务第一”。</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产品交付合格率100%；</w:t>
                  </w:r>
                </w:p>
              </w:tc>
              <w:tc>
                <w:tcPr>
                  <w:tcW w:w="3136"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GB" w:eastAsia="zh-CN"/>
                    </w:rPr>
                  </w:pPr>
                  <w:r>
                    <w:rPr>
                      <w:rFonts w:hint="eastAsia" w:ascii="宋体" w:hAnsi="宋体" w:eastAsia="宋体" w:cs="宋体"/>
                      <w:color w:val="000000"/>
                      <w:kern w:val="0"/>
                      <w:lang w:val="en-US" w:eastAsia="zh-CN"/>
                    </w:rPr>
                    <w:t>合格率=合格量÷总数量×100%；</w:t>
                  </w:r>
                </w:p>
              </w:tc>
              <w:tc>
                <w:tcPr>
                  <w:tcW w:w="1350" w:type="dxa"/>
                  <w:shd w:val="clear" w:color="auto" w:fill="auto"/>
                  <w:vAlign w:val="center"/>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生产部</w:t>
                  </w:r>
                </w:p>
              </w:tc>
              <w:tc>
                <w:tcPr>
                  <w:tcW w:w="1774" w:type="dxa"/>
                  <w:shd w:val="clear" w:color="auto" w:fill="auto"/>
                  <w:vAlign w:val="top"/>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顾客满意度＞92分；</w:t>
                  </w:r>
                </w:p>
              </w:tc>
              <w:tc>
                <w:tcPr>
                  <w:tcW w:w="3136"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满意度=打分总分数÷调查数量</w:t>
                  </w:r>
                </w:p>
              </w:tc>
              <w:tc>
                <w:tcPr>
                  <w:tcW w:w="1350" w:type="dxa"/>
                  <w:shd w:val="clear" w:color="auto" w:fill="auto"/>
                  <w:vAlign w:val="center"/>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供销部</w:t>
                  </w:r>
                </w:p>
              </w:tc>
              <w:tc>
                <w:tcPr>
                  <w:tcW w:w="1774" w:type="dxa"/>
                  <w:shd w:val="clear" w:color="auto" w:fill="auto"/>
                  <w:vAlign w:val="top"/>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合同按时交付率100%；</w:t>
                  </w:r>
                </w:p>
              </w:tc>
              <w:tc>
                <w:tcPr>
                  <w:tcW w:w="3136"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交付率=按期交付数量÷需交付总数量×100%；</w:t>
                  </w:r>
                </w:p>
              </w:tc>
              <w:tc>
                <w:tcPr>
                  <w:tcW w:w="1350" w:type="dxa"/>
                  <w:shd w:val="clear" w:color="auto" w:fill="auto"/>
                  <w:vAlign w:val="center"/>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供销部</w:t>
                  </w:r>
                </w:p>
              </w:tc>
              <w:tc>
                <w:tcPr>
                  <w:tcW w:w="1774" w:type="dxa"/>
                  <w:shd w:val="clear" w:color="auto" w:fill="auto"/>
                  <w:vAlign w:val="top"/>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highlight w:val="none"/>
              </w:rPr>
              <w:t>建</w:t>
            </w:r>
            <w:r>
              <w:rPr>
                <w:rFonts w:hint="eastAsia" w:ascii="Times New Roman" w:hAnsi="Times New Roman" w:eastAsia="宋体" w:cs="Times New Roman"/>
              </w:rPr>
              <w:t>筑面积</w:t>
            </w:r>
            <w:r>
              <w:rPr>
                <w:rFonts w:hint="eastAsia" w:ascii="Times New Roman" w:hAnsi="Times New Roman" w:eastAsia="宋体" w:cs="Times New Roman"/>
                <w:lang w:val="en-US" w:eastAsia="zh-CN"/>
              </w:rPr>
              <w:t>1200</w:t>
            </w:r>
            <w:r>
              <w:rPr>
                <w:rFonts w:hint="eastAsia" w:ascii="Times New Roman" w:hAnsi="Times New Roman" w:eastAsia="宋体" w:cs="Times New Roman"/>
              </w:rPr>
              <w:t xml:space="preserve"> 平方米；生产车间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个；实验室   个；</w:t>
            </w:r>
          </w:p>
          <w:p>
            <w:pPr>
              <w:shd w:val="clear" w:color="auto" w:fill="C7DAF1" w:themeFill="text2"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主要生产设备有：电脑、打印机和</w:t>
            </w:r>
            <w:r>
              <w:rPr>
                <w:rFonts w:hint="eastAsia" w:ascii="Times New Roman" w:hAnsi="Times New Roman" w:eastAsia="宋体" w:cs="Times New Roman"/>
                <w:lang w:val="en-US" w:eastAsia="zh-CN"/>
              </w:rPr>
              <w:t>剪板机、钻床、冲床、折弯机、焊机、</w:t>
            </w:r>
            <w:r>
              <w:rPr>
                <w:rFonts w:hint="eastAsia" w:cs="Times New Roman"/>
                <w:lang w:val="en-US" w:eastAsia="zh-CN"/>
              </w:rPr>
              <w:t>喷塑</w:t>
            </w:r>
            <w:r>
              <w:rPr>
                <w:rFonts w:hint="eastAsia" w:ascii="Times New Roman" w:hAnsi="Times New Roman" w:eastAsia="宋体" w:cs="Times New Roman"/>
                <w:lang w:val="en-US" w:eastAsia="zh-CN"/>
              </w:rPr>
              <w:t>房、手动叉车等和钢卷尺、游标卡尺、涂层测厚仪等检测设备</w:t>
            </w:r>
            <w:r>
              <w:rPr>
                <w:rFonts w:hint="eastAsia" w:ascii="Times New Roman" w:hAnsi="Times New Roman" w:eastAsia="宋体" w:cs="Times New Roman"/>
              </w:rPr>
              <w:t xml:space="preserve"> </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highlight w:val="none"/>
                <w:u w:val="single"/>
              </w:rPr>
            </w:pPr>
            <w:r>
              <w:rPr>
                <w:rFonts w:hint="eastAsia"/>
              </w:rPr>
              <w:t>国家强检的计量器具有</w:t>
            </w:r>
            <w:r>
              <w:rPr>
                <w:rFonts w:hint="eastAsia" w:ascii="Times New Roman" w:hAnsi="Times New Roman" w:eastAsia="宋体" w:cs="Times New Roman"/>
              </w:rPr>
              <w:t>：</w:t>
            </w:r>
            <w:r>
              <w:rPr>
                <w:rFonts w:hint="eastAsia" w:ascii="Times New Roman" w:hAnsi="Times New Roman" w:eastAsia="宋体" w:cs="Times New Roman"/>
                <w:lang w:val="en-US" w:eastAsia="zh-CN"/>
              </w:rPr>
              <w:t>无</w:t>
            </w:r>
            <w:r>
              <w:rPr>
                <w:rFonts w:hint="eastAsia" w:ascii="Times New Roman" w:hAnsi="Times New Roman" w:eastAsia="宋体" w:cs="Times New Roman"/>
                <w:lang w:eastAsia="zh-CN"/>
              </w:rPr>
              <w:t>。</w:t>
            </w:r>
          </w:p>
          <w:p>
            <w:pPr>
              <w:shd w:val="clear" w:color="auto" w:fill="C7DAF1" w:themeFill="text2" w:themeFillTint="32"/>
              <w:rPr>
                <w:rFonts w:hint="default"/>
                <w:u w:val="single"/>
                <w:lang w:val="en-US"/>
              </w:rPr>
            </w:pPr>
            <w:r>
              <w:rPr>
                <w:rFonts w:hint="eastAsia"/>
                <w:highlight w:val="none"/>
              </w:rPr>
              <w:t>计量器具管理：</w:t>
            </w:r>
            <w:r>
              <w:rPr>
                <w:rFonts w:hint="eastAsia"/>
                <w:highlight w:val="none"/>
                <w:lang w:eastAsia="zh-CN"/>
              </w:rPr>
              <w:t>■</w:t>
            </w:r>
            <w:r>
              <w:rPr>
                <w:rFonts w:hint="eastAsia"/>
                <w:highlight w:val="none"/>
              </w:rPr>
              <w:t>进行了定期校准/检定</w:t>
            </w:r>
            <w:r>
              <w:rPr>
                <w:rFonts w:hint="eastAsia" w:ascii="Times New Roman" w:hAnsi="Times New Roman" w:eastAsia="宋体" w:cs="Times New Roman"/>
              </w:rPr>
              <w:t xml:space="preserve">  </w:t>
            </w:r>
            <w:r>
              <w:rPr>
                <w:rFonts w:hint="eastAsia" w:ascii="Times New Roman" w:hAnsi="Times New Roman" w:eastAsia="宋体" w:cs="Times New Roman"/>
                <w:lang w:eastAsia="zh-CN"/>
              </w:rPr>
              <w:t>□</w:t>
            </w:r>
            <w:r>
              <w:rPr>
                <w:rFonts w:hint="eastAsia" w:ascii="Times New Roman" w:hAnsi="Times New Roman" w:eastAsia="宋体" w:cs="Times New Roman"/>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lang w:eastAsia="zh-CN"/>
              </w:rPr>
              <w:t>□</w:t>
            </w:r>
            <w:r>
              <w:rPr>
                <w:rFonts w:hint="eastAsia"/>
              </w:rPr>
              <w:t xml:space="preserve">企业标准 </w:t>
            </w:r>
            <w:r>
              <w:rPr>
                <w:rFonts w:hint="eastAsia"/>
                <w:lang w:eastAsia="zh-CN"/>
              </w:rPr>
              <w:t>■</w:t>
            </w:r>
            <w:r>
              <w:rPr>
                <w:rFonts w:hint="eastAsia"/>
              </w:rPr>
              <w:t xml:space="preserve">顾客要求  </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电缆桥架及配件（电缆支架、抱箍）的生产</w:t>
                  </w:r>
                </w:p>
              </w:tc>
              <w:tc>
                <w:tcPr>
                  <w:tcW w:w="3665" w:type="dxa"/>
                </w:tcPr>
                <w:p>
                  <w:pPr>
                    <w:shd w:val="clear" w:color="auto" w:fill="C7DAF1" w:themeFill="text2" w:themeFillTint="32"/>
                    <w:jc w:val="left"/>
                    <w:rPr>
                      <w:rFonts w:hint="default" w:eastAsia="宋体"/>
                      <w:u w:val="none"/>
                      <w:lang w:val="en-US" w:eastAsia="zh-CN"/>
                    </w:rPr>
                  </w:pPr>
                  <w:r>
                    <w:rPr>
                      <w:rFonts w:hint="eastAsia" w:cs="Times New Roman"/>
                      <w:color w:val="000000"/>
                      <w:u w:val="none"/>
                      <w:lang w:val="en-US" w:eastAsia="zh-CN"/>
                    </w:rPr>
                    <w:t>成型、焊接、喷塑</w:t>
                  </w:r>
                </w:p>
              </w:tc>
              <w:tc>
                <w:tcPr>
                  <w:tcW w:w="3265" w:type="dxa"/>
                </w:tcPr>
                <w:p>
                  <w:pPr>
                    <w:shd w:val="clear" w:color="auto" w:fill="C7DAF1" w:themeFill="text2" w:themeFillTint="32"/>
                    <w:jc w:val="left"/>
                    <w:rPr>
                      <w:rFonts w:hint="eastAsia" w:eastAsiaTheme="minorEastAsia"/>
                      <w:u w:val="none"/>
                      <w:lang w:val="en-US" w:eastAsia="zh-CN"/>
                    </w:rPr>
                  </w:pPr>
                  <w:r>
                    <w:rPr>
                      <w:rFonts w:hint="eastAsia"/>
                      <w:color w:val="000000"/>
                      <w:u w:val="none"/>
                      <w:lang w:val="en-US" w:eastAsia="zh-CN"/>
                    </w:rPr>
                    <w:t>尺寸、电流、电压</w:t>
                  </w:r>
                  <w:r>
                    <w:rPr>
                      <w:color w:val="000000"/>
                      <w:u w:val="none"/>
                    </w:rPr>
                    <w:t xml:space="preserve"> </w:t>
                  </w:r>
                  <w:r>
                    <w:rPr>
                      <w:rFonts w:hint="eastAsia"/>
                      <w:color w:val="000000"/>
                      <w:u w:val="none"/>
                      <w:lang w:eastAsia="zh-CN"/>
                    </w:rPr>
                    <w:t>、</w:t>
                  </w:r>
                  <w:r>
                    <w:rPr>
                      <w:rFonts w:hint="eastAsia"/>
                      <w:color w:val="000000"/>
                      <w:u w:val="none"/>
                      <w:lang w:val="en-US" w:eastAsia="zh-CN"/>
                    </w:rPr>
                    <w:t>涂层厚度等</w:t>
                  </w:r>
                  <w:r>
                    <w:rPr>
                      <w:color w:val="00000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s="Times New Roman"/>
                <w:color w:val="000000"/>
                <w:u w:val="single"/>
                <w:lang w:val="en-US" w:eastAsia="zh-CN"/>
              </w:rPr>
              <w:t>焊接过程、喷塑</w:t>
            </w:r>
            <w:r>
              <w:rPr>
                <w:rFonts w:hint="eastAsia"/>
                <w:u w:val="single"/>
                <w:lang w:val="en-US" w:eastAsia="zh-CN"/>
              </w:rPr>
              <w:t>过程</w:t>
            </w:r>
            <w:r>
              <w:rPr>
                <w:rFonts w:hint="eastAsia"/>
              </w:rPr>
              <w:t xml:space="preserve"> ，</w:t>
            </w:r>
          </w:p>
          <w:p>
            <w:pPr>
              <w:shd w:val="clear" w:color="auto" w:fill="C7DAF1" w:themeFill="text2" w:themeFillTint="32"/>
              <w:jc w:val="left"/>
              <w:rPr>
                <w:rFonts w:hint="eastAsia"/>
                <w:lang w:eastAsia="zh-CN"/>
              </w:rPr>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lang w:eastAsia="zh-CN"/>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w:t>
            </w:r>
            <w:r>
              <w:rPr>
                <w:rFonts w:hint="eastAsia"/>
                <w:highlight w:val="none"/>
              </w:rPr>
              <w:t xml:space="preserve">要求 </w:t>
            </w:r>
            <w:r>
              <w:rPr>
                <w:rFonts w:hint="eastAsia"/>
                <w:highlight w:val="none"/>
                <w:lang w:eastAsia="zh-CN"/>
              </w:rPr>
              <w:t>■</w:t>
            </w:r>
            <w:r>
              <w:rPr>
                <w:rFonts w:hint="eastAsia"/>
                <w:highlight w:val="none"/>
              </w:rPr>
              <w:t>存在不足，说明</w:t>
            </w:r>
            <w:r>
              <w:rPr>
                <w:rFonts w:hint="eastAsia"/>
                <w:highlight w:val="none"/>
                <w:lang w:eastAsia="zh-CN"/>
              </w:rPr>
              <w:t>：</w:t>
            </w:r>
            <w:r>
              <w:rPr>
                <w:rFonts w:hint="eastAsia" w:eastAsia="宋体"/>
                <w:u w:val="single"/>
                <w:lang w:val="en-US" w:eastAsia="zh-CN"/>
              </w:rPr>
              <w:t>查2023年2月24日入库的J5不锈钢冷轧板材（规格1.5*1240*2000，数量3块,供方：重庆大板金属制品有限公司）的检验验收记录，未能提供其检验验收证实，已开具不符合项报告，需整改</w:t>
            </w:r>
            <w:r>
              <w:rPr>
                <w:rFonts w:hint="eastAsia" w:eastAsia="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年 </w:t>
            </w:r>
            <w:r>
              <w:rPr>
                <w:rFonts w:hint="eastAsia"/>
                <w:u w:val="single"/>
                <w:lang w:val="en-US" w:eastAsia="zh-CN"/>
              </w:rPr>
              <w:t>9</w:t>
            </w:r>
            <w:r>
              <w:rPr>
                <w:rFonts w:hint="eastAsia"/>
                <w:u w:val="single"/>
              </w:rPr>
              <w:t xml:space="preserve"> 月 </w:t>
            </w:r>
            <w:r>
              <w:rPr>
                <w:rFonts w:hint="eastAsia"/>
                <w:u w:val="single"/>
                <w:lang w:val="en-US" w:eastAsia="zh-CN"/>
              </w:rPr>
              <w:t>9日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9</w:t>
            </w:r>
            <w:r>
              <w:rPr>
                <w:rFonts w:hint="eastAsia"/>
                <w:u w:val="single"/>
              </w:rPr>
              <w:t xml:space="preserve">月 </w:t>
            </w:r>
            <w:r>
              <w:rPr>
                <w:rFonts w:hint="eastAsia"/>
                <w:u w:val="single"/>
                <w:lang w:val="en-US" w:eastAsia="zh-CN"/>
              </w:rPr>
              <w:t>16</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4</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45A1766"/>
    <w:rsid w:val="2DE35C08"/>
    <w:rsid w:val="46587C00"/>
    <w:rsid w:val="68F75D97"/>
    <w:rsid w:val="6A813E93"/>
    <w:rsid w:val="77BC4FE8"/>
    <w:rsid w:val="7C3176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8222</Words>
  <Characters>8802</Characters>
  <Lines>150</Lines>
  <Paragraphs>42</Paragraphs>
  <TotalTime>3</TotalTime>
  <ScaleCrop>false</ScaleCrop>
  <LinksUpToDate>false</LinksUpToDate>
  <CharactersWithSpaces>9641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2023-03-02T10:02:19Z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