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0671-2020-Q-2023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重庆新福佰科技有限公司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重庆新福佰科技有限公司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重庆市璧山工业园区电镀集中加工区F07栋三楼1-2号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重庆市璧山工业园区电镀集中加工区F07栋三楼1-2号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陈瑞春</w:t>
            </w:r>
            <w:bookmarkEnd w:id="10"/>
          </w:p>
        </w:tc>
        <w:tc>
          <w:tcPr>
            <w:tcW w:w="1313" w:type="dxa"/>
            <w:vAlign w:val="center"/>
          </w:tcPr>
          <w:p>
            <w:r>
              <w:rPr>
                <w:rFonts w:hint="eastAsia"/>
              </w:rPr>
              <w:t>电话.</w:t>
            </w:r>
          </w:p>
        </w:tc>
        <w:tc>
          <w:tcPr>
            <w:tcW w:w="2180" w:type="dxa"/>
            <w:vAlign w:val="center"/>
          </w:tcPr>
          <w:p>
            <w:bookmarkStart w:id="11" w:name="联系人电话"/>
            <w:r>
              <w:t>13047357001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陈瑞春</w:t>
            </w:r>
            <w:bookmarkEnd w:id="13"/>
          </w:p>
        </w:tc>
        <w:tc>
          <w:tcPr>
            <w:tcW w:w="1313" w:type="dxa"/>
            <w:vAlign w:val="center"/>
          </w:tcPr>
          <w:p>
            <w:r>
              <w:rPr>
                <w:rFonts w:hint="eastAsia"/>
              </w:rPr>
              <w:t>管理者代表</w:t>
            </w:r>
          </w:p>
        </w:tc>
        <w:tc>
          <w:tcPr>
            <w:tcW w:w="2180" w:type="dxa"/>
          </w:tcPr>
          <w:p>
            <w:bookmarkStart w:id="14" w:name="管理者代表"/>
            <w:r>
              <w:t>陈旺春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lang w:eastAsia="zh-CN"/>
              </w:rPr>
            </w:pPr>
            <w:r>
              <w:rPr>
                <w:rFonts w:hint="eastAsia"/>
              </w:rPr>
              <w:t>生产流程：投料→溶解→化学镀→过滤→清洗→烘干→包装→成品</w:t>
            </w:r>
            <w:r>
              <w:rPr>
                <w:rFonts w:hint="eastAsia"/>
                <w:lang w:eastAsia="zh-CN"/>
              </w:rPr>
              <w:t>。</w:t>
            </w:r>
          </w:p>
          <w:p>
            <w:pPr>
              <w:pStyle w:val="2"/>
              <w:rPr>
                <w:rFonts w:hint="eastAsia"/>
                <w:lang w:eastAsia="zh-CN"/>
              </w:rPr>
            </w:pPr>
            <w:r>
              <w:rPr>
                <w:rFonts w:hint="eastAsia"/>
                <w:color w:val="auto"/>
              </w:rPr>
              <w:t>销售流程：</w:t>
            </w:r>
            <w:r>
              <w:rPr>
                <w:rFonts w:hint="eastAsia" w:ascii="Times New Roman" w:hAnsi="Times New Roman" w:eastAsia="宋体" w:cs="Times New Roman"/>
                <w:bCs w:val="0"/>
                <w:spacing w:val="0"/>
                <w:kern w:val="2"/>
                <w:sz w:val="21"/>
                <w:szCs w:val="24"/>
                <w:lang w:val="en-US" w:eastAsia="zh-CN" w:bidi="ar-SA"/>
              </w:rPr>
              <w:t>客户询价→公司报价→签到合同→组织生产→交付→售后服务。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2023年02月21日 上午至2023年02月21日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rPr>
              <w:t>审核地址（含远程）</w:t>
            </w:r>
          </w:p>
        </w:tc>
        <w:tc>
          <w:tcPr>
            <w:tcW w:w="7831" w:type="dxa"/>
            <w:gridSpan w:val="3"/>
            <w:tcMar>
              <w:left w:w="113" w:type="dxa"/>
            </w:tcMar>
          </w:tcPr>
          <w:p>
            <w:pPr>
              <w:rPr>
                <w:rFonts w:ascii="宋体"/>
                <w:b/>
                <w:color w:val="0000FF"/>
                <w:szCs w:val="21"/>
              </w:rPr>
            </w:pPr>
            <w:r>
              <w:t>重庆市璧山工业园区电镀集中加工区F07栋三楼1-2号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防电磁辐射材料（镍包石墨粉，镍包铜粉，银包石墨粉，银包玻璃粉，银包铝粉，银包铜粉，银包镍粉）的生产及销售。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12.01.03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2017年4月15日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w:t>
            </w:r>
            <w:r>
              <w:rPr>
                <w:rFonts w:hint="eastAsia"/>
                <w:lang w:val="en-US" w:eastAsia="zh-CN"/>
              </w:rPr>
              <w:t>1</w:t>
            </w:r>
            <w:r>
              <w:rPr>
                <w:rFonts w:hint="eastAsia"/>
              </w:rPr>
              <w:t>年12月</w:t>
            </w:r>
            <w:r>
              <w:rPr>
                <w:rFonts w:hint="eastAsia"/>
                <w:lang w:val="en-US" w:eastAsia="zh-CN"/>
              </w:rPr>
              <w:t>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有效至2023年12月15日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hint="eastAsia"/>
                <w:color w:val="000000"/>
                <w:szCs w:val="21"/>
              </w:rPr>
              <w:t>重庆新福佰科技有限公司/重庆市璧山工业园区电镀集中加工区F07栋三楼1-2号</w:t>
            </w:r>
          </w:p>
        </w:tc>
        <w:tc>
          <w:tcPr>
            <w:tcW w:w="2267" w:type="dxa"/>
            <w:vAlign w:val="top"/>
          </w:tcPr>
          <w:p>
            <w:pPr>
              <w:rPr>
                <w:lang w:val="de-DE" w:eastAsia="ja-JP"/>
              </w:rPr>
            </w:pPr>
            <w:r>
              <w:rPr>
                <w:rFonts w:hint="eastAsia"/>
                <w:color w:val="000000"/>
                <w:szCs w:val="21"/>
              </w:rPr>
              <w:t>重庆市璧山工业园区电镀集中加工区F07栋三楼1-2号</w:t>
            </w:r>
          </w:p>
        </w:tc>
        <w:tc>
          <w:tcPr>
            <w:tcW w:w="571" w:type="dxa"/>
            <w:vAlign w:val="center"/>
          </w:tcPr>
          <w:p>
            <w:pPr>
              <w:rPr>
                <w:lang w:eastAsia="ja-JP"/>
              </w:rPr>
            </w:pPr>
            <w:r>
              <w:rPr>
                <w:rFonts w:hint="eastAsia"/>
              </w:rPr>
              <w:t>10</w:t>
            </w:r>
          </w:p>
        </w:tc>
        <w:tc>
          <w:tcPr>
            <w:tcW w:w="2803" w:type="dxa"/>
            <w:vAlign w:val="center"/>
          </w:tcPr>
          <w:p>
            <w:pPr>
              <w:rPr>
                <w:lang w:eastAsia="ja-JP"/>
              </w:rPr>
            </w:pPr>
            <w:r>
              <w:rPr>
                <w:rFonts w:hint="eastAsia" w:ascii="宋体" w:hAnsi="宋体"/>
                <w:szCs w:val="21"/>
              </w:rPr>
              <w:t>防电磁辐射材料（镍包石墨粉，镍包铜粉，银包石墨粉，银包玻璃粉，银包铝粉，银包铜粉，银包镍粉）的生产及销售</w:t>
            </w:r>
          </w:p>
        </w:tc>
        <w:tc>
          <w:tcPr>
            <w:tcW w:w="669" w:type="dxa"/>
            <w:vAlign w:val="center"/>
          </w:tcPr>
          <w:p>
            <w:pPr>
              <w:rPr>
                <w:lang w:eastAsia="ja-JP"/>
              </w:rPr>
            </w:pPr>
            <w:r>
              <w:rPr>
                <w:rFonts w:hint="eastAsia"/>
                <w:lang w:val="de-DE"/>
              </w:rPr>
              <w:t>GB/T19001-2016</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cs="宋体"/>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cs="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szCs w:val="22"/>
              </w:rPr>
              <w:t>上次不符合为</w:t>
            </w:r>
            <w:r>
              <w:rPr>
                <w:rFonts w:hint="eastAsia" w:ascii="宋体" w:hAnsi="宋体" w:cs="新宋体"/>
                <w:szCs w:val="21"/>
              </w:rPr>
              <w:t>综合部8.</w:t>
            </w:r>
            <w:r>
              <w:rPr>
                <w:rFonts w:hint="eastAsia" w:ascii="宋体" w:hAnsi="宋体" w:cs="新宋体"/>
                <w:szCs w:val="21"/>
                <w:lang w:val="en-US" w:eastAsia="zh-CN"/>
              </w:rPr>
              <w:t>4.1</w:t>
            </w:r>
            <w:r>
              <w:rPr>
                <w:rFonts w:hint="eastAsia" w:ascii="宋体" w:hAnsi="宋体" w:cs="新宋体"/>
                <w:szCs w:val="21"/>
              </w:rPr>
              <w:t>条款</w:t>
            </w:r>
            <w:r>
              <w:rPr>
                <w:rFonts w:hint="eastAsia"/>
                <w:szCs w:val="22"/>
              </w:rPr>
              <w:t>，经本次审核验证均整改且无类似不符合情况出现。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ascii="宋体" w:hAnsi="宋体" w:cs="宋体"/>
        </w:rPr>
        <w:t>■</w:t>
      </w:r>
      <w:r>
        <w:rPr>
          <w:rFonts w:hint="eastAsia"/>
        </w:rPr>
        <w:t>可能影响本次审核结论可靠性的因素：无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r>
              <w:rPr>
                <w:rFonts w:hint="eastAsia"/>
                <w:highlight w:val="none"/>
              </w:rPr>
              <w:t>1</w:t>
            </w:r>
          </w:p>
        </w:tc>
        <w:tc>
          <w:tcPr>
            <w:tcW w:w="1717" w:type="dxa"/>
          </w:tcPr>
          <w:p>
            <w:pPr>
              <w:rPr>
                <w:highlight w:val="none"/>
              </w:rPr>
            </w:pPr>
            <w:r>
              <w:rPr>
                <w:rFonts w:hint="eastAsia"/>
                <w:highlight w:val="none"/>
              </w:rPr>
              <w:t>0</w:t>
            </w:r>
          </w:p>
        </w:tc>
        <w:tc>
          <w:tcPr>
            <w:tcW w:w="1560" w:type="dxa"/>
          </w:tcPr>
          <w:p>
            <w:pPr>
              <w:rPr>
                <w:highlight w:val="none"/>
              </w:rPr>
            </w:pPr>
            <w:r>
              <w:rPr>
                <w:rFonts w:hint="eastAsia"/>
                <w:highlight w:val="none"/>
              </w:rPr>
              <w:t>1</w:t>
            </w:r>
          </w:p>
        </w:tc>
        <w:tc>
          <w:tcPr>
            <w:tcW w:w="2965" w:type="dxa"/>
          </w:tcPr>
          <w:p>
            <w:pPr>
              <w:rPr>
                <w:highlight w:val="none"/>
              </w:rPr>
            </w:pPr>
            <w:r>
              <w:rPr>
                <w:rFonts w:hint="eastAsia" w:ascii="宋体" w:hAnsi="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vAlign w:val="top"/>
          </w:tcPr>
          <w:p>
            <w:r>
              <w:rPr>
                <w:rFonts w:hint="eastAsia" w:ascii="宋体" w:hAnsi="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vAlign w:val="top"/>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QMS</w:t>
            </w:r>
          </w:p>
        </w:tc>
        <w:tc>
          <w:tcPr>
            <w:tcW w:w="7380" w:type="dxa"/>
            <w:shd w:val="clear" w:color="auto" w:fill="auto"/>
            <w:vAlign w:val="top"/>
          </w:tcPr>
          <w:p>
            <w:pPr>
              <w:rPr>
                <w:rFonts w:hint="eastAsia" w:eastAsia="宋体"/>
                <w:lang w:val="en-US" w:eastAsia="zh-CN"/>
              </w:rPr>
            </w:pPr>
            <w:r>
              <w:rPr>
                <w:sz w:val="21"/>
                <w:szCs w:val="21"/>
              </w:rPr>
              <w:t>防电磁辐射材料（镍包石墨粉，镍包铜粉，银包石墨粉，银包玻璃粉，银包铝粉，银包铜粉，银包镍粉）的生产及销售</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杨珍全</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2023年2月21日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ascii="宋体" w:hAnsi="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无</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u w:val="single"/>
              </w:rPr>
            </w:pPr>
            <w:r>
              <w:rPr>
                <w:rFonts w:hint="eastAsia"/>
              </w:rPr>
              <w:t>最高管理者制定了文件化的管理体系方针：</w:t>
            </w:r>
            <w:r>
              <w:rPr>
                <w:rFonts w:hint="eastAsia" w:ascii="宋体" w:hAnsi="宋体" w:cs="宋体"/>
                <w:szCs w:val="24"/>
              </w:rPr>
              <w:t>“品质至上、持续改善、达成目标、客户满意。”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品保</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公司售后服务处理不好，顾客埋怨投诉较多，会严重影响公司产品的销售，会给公司发展带来较大的客户流失风险</w:t>
                  </w:r>
                </w:p>
              </w:tc>
              <w:tc>
                <w:tcPr>
                  <w:tcW w:w="3965" w:type="dxa"/>
                </w:tcPr>
                <w:p>
                  <w:pPr>
                    <w:shd w:val="clear" w:color="auto" w:fill="C7DAF1" w:themeFill="text2" w:themeFillTint="32"/>
                  </w:pPr>
                  <w:r>
                    <w:rPr>
                      <w:rFonts w:hint="eastAsia" w:ascii="宋体" w:hAnsi="宋体" w:cs="宋体"/>
                      <w:szCs w:val="21"/>
                      <w:lang w:eastAsia="zh-CN"/>
                    </w:rPr>
                    <w:t>综合部</w:t>
                  </w:r>
                  <w:r>
                    <w:rPr>
                      <w:rFonts w:hint="eastAsia" w:ascii="宋体" w:hAnsi="宋体" w:cs="宋体"/>
                      <w:szCs w:val="21"/>
                    </w:rPr>
                    <w:t>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bookmarkStart w:id="34" w:name="_GoBack"/>
            <w:bookmarkEnd w:id="34"/>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1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 xml:space="preserve">办公区域面积 </w:t>
            </w:r>
            <w:r>
              <w:rPr>
                <w:rFonts w:hint="eastAsia"/>
                <w:u w:val="single"/>
                <w:lang w:val="en-US" w:eastAsia="zh-CN"/>
              </w:rPr>
              <w:t>60</w:t>
            </w:r>
            <w:r>
              <w:rPr>
                <w:rFonts w:hint="eastAsia"/>
                <w:u w:val="single"/>
              </w:rPr>
              <w:t xml:space="preserve"> </w:t>
            </w:r>
            <w:r>
              <w:rPr>
                <w:rFonts w:hint="eastAsia"/>
              </w:rPr>
              <w:t>平方米；</w:t>
            </w:r>
            <w:r>
              <w:rPr>
                <w:rFonts w:hint="eastAsia"/>
                <w:color w:val="000000" w:themeColor="text1"/>
              </w:rPr>
              <w:t>办公场所</w:t>
            </w:r>
            <w:r>
              <w:rPr>
                <w:rFonts w:hint="eastAsia"/>
                <w:color w:val="000000" w:themeColor="text1"/>
                <w:u w:val="single"/>
              </w:rPr>
              <w:t xml:space="preserve">  1 </w:t>
            </w:r>
            <w:r>
              <w:rPr>
                <w:rFonts w:hint="eastAsia"/>
                <w:color w:val="000000" w:themeColor="text1"/>
              </w:rPr>
              <w:t>个；生产场所</w:t>
            </w:r>
            <w:r>
              <w:rPr>
                <w:rFonts w:hint="eastAsia"/>
                <w:color w:val="000000" w:themeColor="text1"/>
                <w:u w:val="single"/>
              </w:rPr>
              <w:t xml:space="preserve">  1  </w:t>
            </w:r>
            <w:r>
              <w:rPr>
                <w:rFonts w:hint="eastAsia"/>
                <w:color w:val="000000" w:themeColor="text1"/>
              </w:rPr>
              <w:t>个（400平米）</w:t>
            </w:r>
            <w:r>
              <w:rPr>
                <w:rFonts w:hint="eastAsia"/>
              </w:rPr>
              <w:t>；实验室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宋体" w:hAnsi="宋体" w:cs="宋体"/>
                <w:szCs w:val="21"/>
                <w:u w:val="single"/>
              </w:rPr>
              <w:t>办公设备、电脑、打印机、</w:t>
            </w:r>
            <w:r>
              <w:rPr>
                <w:rFonts w:hint="eastAsia" w:ascii="宋体" w:hAnsi="宋体"/>
                <w:szCs w:val="21"/>
                <w:u w:val="single"/>
              </w:rPr>
              <w:t>设备纯水机、加料控制箱、碱雾处理塔、镀液收集桶、热循环烤箱、反应釜、过滤机、真空抽滤系统、气动隔膜泵、空气压缩机等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□简单</w:t>
            </w:r>
            <w:r>
              <w:rPr>
                <w:rFonts w:hint="eastAsia"/>
              </w:rPr>
              <w:t xml:space="preserve">压力容器  </w:t>
            </w:r>
            <w:r>
              <w:rPr>
                <w:rFonts w:hint="eastAsia" w:ascii="Wingdings" w:hAnsi="Wingdings"/>
              </w:rPr>
              <w:t>□</w:t>
            </w:r>
            <w:r>
              <w:rPr>
                <w:rFonts w:hint="eastAsia"/>
              </w:rPr>
              <w:t xml:space="preserve">压力管道  </w:t>
            </w:r>
            <w:r>
              <w:rPr>
                <w:rFonts w:hint="eastAsia" w:ascii="宋体" w:hAnsi="宋体" w:cs="宋体"/>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□安全阀及压力表</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压力表、安全阀</w:t>
            </w:r>
            <w:r>
              <w:rPr>
                <w:rFonts w:hint="eastAsia"/>
                <w:highlight w:val="none"/>
                <w:u w:val="single"/>
              </w:rPr>
              <w:t xml:space="preserve">  </w:t>
            </w:r>
          </w:p>
          <w:p>
            <w:pPr>
              <w:shd w:val="clear" w:color="auto" w:fill="C7DAF1" w:themeFill="text2" w:themeFillTint="32"/>
              <w:rPr>
                <w:u w:val="single"/>
              </w:rPr>
            </w:pPr>
            <w:r>
              <w:rPr>
                <w:rFonts w:hint="eastAsia"/>
              </w:rPr>
              <w:t>计量器具管理：</w:t>
            </w:r>
            <w:r>
              <w:rPr>
                <w:rFonts w:hint="eastAsia" w:ascii="宋体" w:hAnsi="宋体" w:cs="宋体"/>
              </w:rPr>
              <w:t>■</w:t>
            </w:r>
            <w:r>
              <w:rPr>
                <w:rFonts w:hint="eastAsia"/>
              </w:rPr>
              <w:t>进行了定期校准/检定 □未进行定期校准/检定的有：</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审核期间内设计和开发新产品/项目名称：车辆车牌精准</w:t>
            </w:r>
            <w:r>
              <w:rPr>
                <w:rFonts w:hint="eastAsia" w:ascii="宋体" w:hAnsi="宋体"/>
                <w:szCs w:val="21"/>
              </w:rPr>
              <w:t>识别控制系统V1.0</w:t>
            </w: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7"/>
              <w:gridCol w:w="241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shd w:val="clear" w:color="auto" w:fill="C7DAF1" w:themeFill="text2" w:themeFillTint="32"/>
                    <w:jc w:val="left"/>
                  </w:pPr>
                  <w:r>
                    <w:rPr>
                      <w:rFonts w:hint="eastAsia"/>
                    </w:rPr>
                    <w:t>产品/服务名称</w:t>
                  </w:r>
                </w:p>
              </w:tc>
              <w:tc>
                <w:tcPr>
                  <w:tcW w:w="2413" w:type="dxa"/>
                </w:tcPr>
                <w:p>
                  <w:pPr>
                    <w:shd w:val="clear" w:color="auto" w:fill="C7DAF1" w:themeFill="text2" w:themeFillTint="32"/>
                    <w:jc w:val="left"/>
                  </w:pPr>
                  <w:r>
                    <w:rPr>
                      <w:rFonts w:hint="eastAsia"/>
                    </w:rPr>
                    <w:t>关键过程</w:t>
                  </w:r>
                </w:p>
              </w:tc>
              <w:tc>
                <w:tcPr>
                  <w:tcW w:w="2862"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shd w:val="clear" w:color="auto" w:fill="C7DAF1" w:themeFill="text2" w:themeFillTint="32"/>
                    <w:jc w:val="left"/>
                  </w:pPr>
                  <w:r>
                    <w:rPr>
                      <w:rFonts w:hint="eastAsia" w:ascii="宋体" w:hAnsi="宋体"/>
                      <w:szCs w:val="21"/>
                    </w:rPr>
                    <w:t>防电磁辐射材料（镍包石墨粉，镍包铜粉，银包石墨粉，银包玻璃粉，银包铝粉，银包铜粉，银包镍粉）的生产及销售</w:t>
                  </w:r>
                </w:p>
              </w:tc>
              <w:tc>
                <w:tcPr>
                  <w:tcW w:w="2413" w:type="dxa"/>
                </w:tcPr>
                <w:p>
                  <w:pPr>
                    <w:shd w:val="clear" w:color="auto" w:fill="C7DAF1" w:themeFill="text2" w:themeFillTint="32"/>
                    <w:jc w:val="left"/>
                    <w:rPr>
                      <w:rFonts w:hint="default" w:eastAsia="宋体"/>
                      <w:lang w:val="en-US" w:eastAsia="zh-CN"/>
                    </w:rPr>
                  </w:pPr>
                  <w:r>
                    <w:rPr>
                      <w:rFonts w:hint="eastAsia" w:ascii="宋体" w:hAnsi="宋体"/>
                      <w:szCs w:val="21"/>
                    </w:rPr>
                    <w:t>投料、溶解、化学镀</w:t>
                  </w:r>
                  <w:r>
                    <w:rPr>
                      <w:rFonts w:hint="eastAsia" w:ascii="宋体" w:hAnsi="宋体"/>
                      <w:szCs w:val="21"/>
                      <w:lang w:eastAsia="zh-CN"/>
                    </w:rPr>
                    <w:t>、</w:t>
                  </w:r>
                  <w:r>
                    <w:rPr>
                      <w:rFonts w:hint="eastAsia" w:ascii="宋体" w:hAnsi="宋体"/>
                      <w:szCs w:val="21"/>
                      <w:lang w:val="en-US" w:eastAsia="zh-CN"/>
                    </w:rPr>
                    <w:t>销售。</w:t>
                  </w:r>
                </w:p>
              </w:tc>
              <w:tc>
                <w:tcPr>
                  <w:tcW w:w="2862" w:type="dxa"/>
                </w:tcPr>
                <w:p>
                  <w:pPr>
                    <w:shd w:val="clear" w:color="auto" w:fill="C7DAF1" w:themeFill="text2" w:themeFillTint="32"/>
                    <w:jc w:val="left"/>
                    <w:rPr>
                      <w:rFonts w:hint="eastAsia" w:eastAsia="宋体"/>
                      <w:lang w:val="en-US" w:eastAsia="zh-CN"/>
                    </w:rPr>
                  </w:pPr>
                  <w:r>
                    <w:rPr>
                      <w:rFonts w:hint="eastAsia" w:ascii="宋体" w:hAnsi="宋体"/>
                      <w:szCs w:val="21"/>
                    </w:rPr>
                    <w:t>电阻值、振实密度、粒径</w:t>
                  </w:r>
                  <w:r>
                    <w:rPr>
                      <w:rFonts w:hint="eastAsia" w:ascii="宋体" w:hAnsi="宋体"/>
                      <w:szCs w:val="21"/>
                      <w:lang w:eastAsia="zh-CN"/>
                    </w:rPr>
                    <w:t>、</w:t>
                  </w:r>
                  <w:r>
                    <w:rPr>
                      <w:rFonts w:hint="eastAsia" w:ascii="宋体" w:hAnsi="宋体"/>
                      <w:szCs w:val="21"/>
                      <w:lang w:val="en-US" w:eastAsia="zh-CN"/>
                    </w:rPr>
                    <w:t>交付期、价格、售后服务等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3247" w:type="dxa"/>
                </w:tcPr>
                <w:p>
                  <w:pPr>
                    <w:shd w:val="clear" w:color="auto" w:fill="C7DAF1" w:themeFill="text2" w:themeFillTint="32"/>
                    <w:jc w:val="left"/>
                  </w:pPr>
                </w:p>
              </w:tc>
              <w:tc>
                <w:tcPr>
                  <w:tcW w:w="2413" w:type="dxa"/>
                </w:tcPr>
                <w:p>
                  <w:pPr>
                    <w:shd w:val="clear" w:color="auto" w:fill="C7DAF1" w:themeFill="text2" w:themeFillTint="32"/>
                    <w:jc w:val="left"/>
                    <w:rPr>
                      <w:highlight w:val="yellow"/>
                    </w:rPr>
                  </w:pPr>
                </w:p>
              </w:tc>
              <w:tc>
                <w:tcPr>
                  <w:tcW w:w="2862" w:type="dxa"/>
                </w:tcPr>
                <w:p>
                  <w:pPr>
                    <w:shd w:val="clear" w:color="auto" w:fill="C7DAF1" w:themeFill="text2"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7" w:type="dxa"/>
                </w:tcPr>
                <w:p>
                  <w:pPr>
                    <w:shd w:val="clear" w:color="auto" w:fill="C7DAF1" w:themeFill="text2" w:themeFillTint="32"/>
                    <w:jc w:val="left"/>
                  </w:pPr>
                </w:p>
              </w:tc>
              <w:tc>
                <w:tcPr>
                  <w:tcW w:w="2413" w:type="dxa"/>
                </w:tcPr>
                <w:p>
                  <w:pPr>
                    <w:shd w:val="clear" w:color="auto" w:fill="C7DAF1" w:themeFill="text2" w:themeFillTint="32"/>
                    <w:jc w:val="left"/>
                  </w:pPr>
                </w:p>
              </w:tc>
              <w:tc>
                <w:tcPr>
                  <w:tcW w:w="2862"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化学镀</w:t>
            </w:r>
            <w:r>
              <w:rPr>
                <w:rFonts w:hint="eastAsia"/>
                <w:u w:val="single"/>
                <w:lang w:val="en-US" w:eastAsia="zh-CN"/>
              </w:rPr>
              <w:t>过程</w:t>
            </w:r>
            <w:r>
              <w:rPr>
                <w:rFonts w:hint="eastAsia"/>
                <w:u w:val="single"/>
                <w:lang w:eastAsia="zh-CN"/>
              </w:rPr>
              <w:t>、</w:t>
            </w:r>
            <w:r>
              <w:rPr>
                <w:rFonts w:hint="eastAsia"/>
                <w:u w:val="single"/>
                <w:lang w:val="en-US"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存在不足，说明：将需要确认的过程识别为</w:t>
            </w:r>
            <w:r>
              <w:rPr>
                <w:rFonts w:hint="eastAsia"/>
                <w:u w:val="single"/>
              </w:rPr>
              <w:t>。</w:t>
            </w:r>
          </w:p>
          <w:p>
            <w:pPr>
              <w:shd w:val="clear" w:color="auto" w:fill="C7DAF1" w:themeFill="text2" w:themeFillTint="32"/>
              <w:jc w:val="left"/>
            </w:pPr>
            <w:r>
              <w:rPr>
                <w:rFonts w:hint="eastAsia"/>
              </w:rPr>
              <w:t>对生产和服务提供过程的控制</w:t>
            </w:r>
            <w:r>
              <w:rPr>
                <w:rFonts w:hint="eastAsia" w:ascii="宋体" w:hAnsi="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rFonts w:hint="default" w:eastAsia="宋体"/>
                <w:lang w:val="en-US" w:eastAsia="zh-CN"/>
              </w:rPr>
            </w:pPr>
            <w:r>
              <w:rPr>
                <w:rFonts w:hint="eastAsia"/>
              </w:rPr>
              <w:t>产品检验/服务放行：</w:t>
            </w:r>
            <w:r>
              <w:rPr>
                <w:rFonts w:hint="eastAsia" w:ascii="Wingdings" w:hAnsi="Wingdings"/>
              </w:rPr>
              <w:t>□</w:t>
            </w:r>
            <w:r>
              <w:rPr>
                <w:rFonts w:hint="eastAsia"/>
              </w:rPr>
              <w:t xml:space="preserve">符合要求 </w:t>
            </w:r>
            <w:r>
              <w:rPr>
                <w:rFonts w:hint="eastAsia"/>
                <w:lang w:eastAsia="zh-CN"/>
              </w:rPr>
              <w:t>■</w:t>
            </w:r>
            <w:r>
              <w:rPr>
                <w:rFonts w:hint="eastAsia"/>
              </w:rPr>
              <w:t>存在不足，说明</w:t>
            </w:r>
            <w:r>
              <w:rPr>
                <w:rFonts w:hint="eastAsia"/>
                <w:lang w:eastAsia="zh-CN"/>
              </w:rPr>
              <w:t>：</w:t>
            </w:r>
            <w:r>
              <w:rPr>
                <w:rFonts w:hint="eastAsia"/>
                <w:lang w:val="en-US" w:eastAsia="zh-CN"/>
              </w:rPr>
              <w:t>查2023年2月17日入库的铜粉（规格-400目,数量200kg,供方：铜陵国传电子材料有限公司）的检验验收记录，未能提供其检验验收证实。已开具不符合项报告，需整改。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rPr>
              <w:t>202</w:t>
            </w:r>
            <w:r>
              <w:rPr>
                <w:rFonts w:hint="eastAsia"/>
                <w:highlight w:val="none"/>
                <w:u w:val="single"/>
                <w:lang w:val="en-US" w:eastAsia="zh-CN"/>
              </w:rPr>
              <w:t>2</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22</w:t>
            </w:r>
            <w:r>
              <w:rPr>
                <w:rFonts w:hint="eastAsia"/>
                <w:highlight w:val="none"/>
                <w:u w:val="single"/>
              </w:rPr>
              <w:t>日</w:t>
            </w:r>
            <w:r>
              <w:rPr>
                <w:rFonts w:hint="eastAsia"/>
                <w:highlight w:val="none"/>
              </w:rPr>
              <w:t>实施了质量管理体系内部审核，对质量管理体系的符合性和有效性进行了审核。内审发现的</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w:t>
            </w:r>
            <w:r>
              <w:rPr>
                <w:rFonts w:hint="eastAsia"/>
                <w:highlight w:val="none"/>
              </w:rPr>
              <w:t>的时间间隔，在</w:t>
            </w:r>
            <w:r>
              <w:rPr>
                <w:rFonts w:hint="eastAsia" w:ascii="宋体" w:hAnsi="宋体" w:cs="宋体"/>
                <w:highlight w:val="none"/>
                <w:u w:val="single"/>
              </w:rPr>
              <w:t>202</w:t>
            </w:r>
            <w:r>
              <w:rPr>
                <w:rFonts w:hint="eastAsia" w:ascii="宋体" w:hAnsi="宋体" w:cs="宋体"/>
                <w:highlight w:val="none"/>
                <w:u w:val="single"/>
                <w:lang w:val="en-US" w:eastAsia="zh-CN"/>
              </w:rPr>
              <w:t>2</w:t>
            </w:r>
            <w:r>
              <w:rPr>
                <w:rFonts w:hint="eastAsia" w:ascii="宋体" w:hAnsi="宋体" w:cs="宋体"/>
                <w:highlight w:val="none"/>
                <w:u w:val="single"/>
              </w:rPr>
              <w:t>年7月2</w:t>
            </w:r>
            <w:r>
              <w:rPr>
                <w:rFonts w:hint="eastAsia" w:ascii="宋体" w:hAnsi="宋体" w:cs="宋体"/>
                <w:highlight w:val="none"/>
                <w:u w:val="single"/>
                <w:lang w:val="en-US" w:eastAsia="zh-CN"/>
              </w:rPr>
              <w:t>2</w:t>
            </w:r>
            <w:r>
              <w:rPr>
                <w:rFonts w:hint="eastAsia" w:ascii="宋体" w:hAnsi="宋体" w:cs="宋体"/>
                <w:highlight w:val="none"/>
                <w:u w:val="single"/>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w:t>
            </w:r>
            <w:r>
              <w:rPr>
                <w:rFonts w:hint="eastAsia"/>
                <w:lang w:eastAsia="zh-CN"/>
              </w:rPr>
              <w:t>□</w:t>
            </w:r>
            <w:r>
              <w:rPr>
                <w:rFonts w:hint="eastAsia"/>
              </w:rPr>
              <w:t xml:space="preserve">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rPr>
            </w:pPr>
            <w:r>
              <w:rPr>
                <w:rFonts w:hint="eastAsia"/>
                <w:highlight w:val="none"/>
              </w:rPr>
              <w:t>1</w:t>
            </w:r>
          </w:p>
        </w:tc>
        <w:tc>
          <w:tcPr>
            <w:tcW w:w="650" w:type="dxa"/>
            <w:vAlign w:val="center"/>
          </w:tcPr>
          <w:p>
            <w:pPr>
              <w:shd w:val="clear" w:color="auto" w:fill="C7DAF1" w:themeFill="text2" w:themeFillTint="32"/>
              <w:rPr>
                <w:highlight w:val="none"/>
              </w:rPr>
            </w:pPr>
            <w:r>
              <w:rPr>
                <w:rFonts w:hint="eastAsia"/>
                <w:highlight w:val="none"/>
              </w:rPr>
              <w:t>2</w:t>
            </w:r>
          </w:p>
        </w:tc>
        <w:tc>
          <w:tcPr>
            <w:tcW w:w="650" w:type="dxa"/>
            <w:vAlign w:val="center"/>
          </w:tcPr>
          <w:p>
            <w:pPr>
              <w:shd w:val="clear" w:color="auto" w:fill="C7DAF1" w:themeFill="text2" w:themeFillTint="32"/>
              <w:rPr>
                <w:highlight w:val="none"/>
              </w:rPr>
            </w:pPr>
            <w:r>
              <w:rPr>
                <w:rFonts w:hint="eastAsia"/>
                <w:highlight w:val="none"/>
              </w:rPr>
              <w:t>2</w:t>
            </w:r>
          </w:p>
        </w:tc>
        <w:tc>
          <w:tcPr>
            <w:tcW w:w="649" w:type="dxa"/>
            <w:vAlign w:val="center"/>
          </w:tcPr>
          <w:p>
            <w:pPr>
              <w:shd w:val="clear" w:color="auto" w:fill="C7DAF1" w:themeFill="text2" w:themeFillTint="32"/>
              <w:rPr>
                <w:highlight w:val="none"/>
              </w:rPr>
            </w:pPr>
            <w:r>
              <w:rPr>
                <w:rFonts w:hint="eastAsia"/>
                <w:highlight w:val="none"/>
              </w:rPr>
              <w:t>2</w:t>
            </w:r>
          </w:p>
        </w:tc>
        <w:tc>
          <w:tcPr>
            <w:tcW w:w="650" w:type="dxa"/>
            <w:vAlign w:val="center"/>
          </w:tcPr>
          <w:p>
            <w:pPr>
              <w:shd w:val="clear" w:color="auto" w:fill="C7DAF1" w:themeFill="text2" w:themeFillTint="32"/>
              <w:rPr>
                <w:highlight w:val="none"/>
              </w:rPr>
            </w:pPr>
            <w:r>
              <w:rPr>
                <w:rFonts w:hint="eastAsia"/>
                <w:highlight w:val="none"/>
              </w:rPr>
              <w:t>2</w:t>
            </w:r>
          </w:p>
        </w:tc>
        <w:tc>
          <w:tcPr>
            <w:tcW w:w="650" w:type="dxa"/>
            <w:vAlign w:val="center"/>
          </w:tcPr>
          <w:p>
            <w:pPr>
              <w:shd w:val="clear" w:color="auto" w:fill="C7DAF1" w:themeFill="text2" w:themeFillTint="32"/>
              <w:rPr>
                <w:highlight w:val="none"/>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4</w:t>
            </w:r>
          </w:p>
        </w:tc>
        <w:tc>
          <w:tcPr>
            <w:tcW w:w="650"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1</w:t>
            </w:r>
          </w:p>
        </w:tc>
        <w:tc>
          <w:tcPr>
            <w:tcW w:w="649" w:type="dxa"/>
            <w:vAlign w:val="center"/>
          </w:tcPr>
          <w:p>
            <w:pPr>
              <w:shd w:val="clear" w:color="auto" w:fill="C7DAF1" w:themeFill="text2" w:themeFillTint="32"/>
              <w:rPr>
                <w:highlight w:val="none"/>
              </w:rPr>
            </w:pPr>
            <w:r>
              <w:rPr>
                <w:rFonts w:hint="eastAsia"/>
                <w:highlight w:val="none"/>
              </w:rPr>
              <w:t>1</w:t>
            </w:r>
          </w:p>
        </w:tc>
        <w:tc>
          <w:tcPr>
            <w:tcW w:w="650"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rPr>
            </w:pPr>
          </w:p>
        </w:tc>
        <w:tc>
          <w:tcPr>
            <w:tcW w:w="649" w:type="dxa"/>
            <w:tcBorders>
              <w:bottom w:val="single" w:color="auto" w:sz="4" w:space="0"/>
            </w:tcBorders>
            <w:vAlign w:val="center"/>
          </w:tcPr>
          <w:p>
            <w:pPr>
              <w:shd w:val="clear" w:color="auto" w:fill="C7DAF1" w:themeFill="text2" w:themeFillTint="32"/>
              <w:rPr>
                <w:highlight w:val="none"/>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8E9737B"/>
    <w:rsid w:val="1AC050AD"/>
    <w:rsid w:val="1E2453E9"/>
    <w:rsid w:val="63633B19"/>
    <w:rsid w:val="7D120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8370</Words>
  <Characters>8917</Characters>
  <Lines>150</Lines>
  <Paragraphs>42</Paragraphs>
  <TotalTime>2</TotalTime>
  <ScaleCrop>false</ScaleCrop>
  <LinksUpToDate>false</LinksUpToDate>
  <CharactersWithSpaces>9790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2023-02-21T07:45:45Z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